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200"/>
        <w:jc w:val="center"/>
      </w:pPr>
      <w:r>
        <w:rPr>
          <w:b/>
          <w:bCs/>
          <w:color w:val="224B7B"/>
          <w:sz w:val="40"/>
          <w:szCs w:val="40"/>
        </w:rPr>
        <w:t xml:space="preserve">Spill Prevention, Control, and Countermeasure</w:t>
      </w:r>
    </w:p>
    <w:p>
      <w:pPr>
        <w:spacing w:after="360"/>
        <w:jc w:val="center"/>
      </w:pPr>
      <w:r>
        <w:rPr>
          <w:b/>
          <w:bCs/>
          <w:color w:val="224B7B"/>
          <w:sz w:val="40"/>
          <w:szCs w:val="40"/>
        </w:rPr>
        <w:t xml:space="preserve">(SPCC) Plan</w:t>
      </w:r>
    </w:p>
    <w:p>
      <w:pPr>
        <w:spacing w:after="120"/>
        <w:jc w:val="center"/>
      </w:pPr>
      <w:r>
        <w:rPr>
          <w:i/>
          <w:iCs/>
          <w:color w:val="666666"/>
          <w:sz w:val="24"/>
          <w:szCs w:val="24"/>
        </w:rPr>
        <w:t xml:space="preserve">Prepared under 40 CFR Part 112</w:t>
      </w:r>
    </w:p>
    <w:p>
      <w:pPr>
        <w:spacing w:after="600"/>
        <w:jc w:val="center"/>
      </w:pPr>
      <w:r>
        <w:rPr>
          <w:color w:val="4B7A05"/>
          <w:sz w:val="22"/>
          <w:szCs w:val="22"/>
        </w:rPr>
        <w:t xml:space="preserve">Template provided by Ecesis EHS Software</w:t>
      </w:r>
    </w:p>
    <w:p>
      <w:pPr>
        <w:spacing w:after="100"/>
        <w:jc w:val="center"/>
      </w:pPr>
      <w:r>
        <w:rPr>
          <w:b/>
          <w:bCs/>
        </w:rPr>
        <w:t xml:space="preserve">Facility Name:  </w:t>
      </w:r>
      <w:r>
        <w:t xml:space="preserve">________________________________________</w:t>
      </w:r>
    </w:p>
    <w:p>
      <w:pPr>
        <w:spacing w:after="100"/>
        <w:jc w:val="center"/>
      </w:pPr>
      <w:r>
        <w:rPr>
          <w:b/>
          <w:bCs/>
        </w:rPr>
        <w:t xml:space="preserve">Facility Address:  </w:t>
      </w:r>
      <w:r>
        <w:t xml:space="preserve">_____________________________________</w:t>
      </w:r>
    </w:p>
    <w:p>
      <w:pPr>
        <w:spacing w:after="100"/>
        <w:jc w:val="center"/>
      </w:pPr>
      <w:r>
        <w:rPr>
          <w:b/>
          <w:bCs/>
        </w:rPr>
        <w:t xml:space="preserve">Plan Effective Date:  </w:t>
      </w:r>
      <w:r>
        <w:t xml:space="preserve">______________________</w:t>
      </w:r>
      <w:r>
        <w:rPr>
          <w:b/>
          <w:bCs/>
        </w:rPr>
        <w:t xml:space="preserve">      Plan Revision No.:  </w:t>
      </w:r>
      <w:r>
        <w:t xml:space="preserve">__________</w:t>
      </w:r>
    </w:p>
    <w:p>
      <w:r>
        <w:br w:type="page"/>
      </w:r>
    </w:p>
    <w:p>
      <w:pPr>
        <w:pStyle w:val="Heading1"/>
      </w:pPr>
      <w:r>
        <w:t xml:space="preserve">How to Use This Template</w:t>
      </w:r>
    </w:p>
    <w:p>
      <w:pPr>
        <w:spacing w:after="120"/>
      </w:pPr>
      <w:r>
        <w:rPr>
          <w:i/>
          <w:iCs/>
          <w:color w:val="666666"/>
        </w:rPr>
        <w:t xml:space="preserve">Text shown in [brackets] and blank lines are placeholders for you to complete with your facility-specific information. Delete the italic guidance notes once each section is filled in.</w:t>
      </w:r>
    </w:p>
    <w:p>
      <w:pPr>
        <w:spacing w:after="120"/>
      </w:pPr>
      <w:r>
        <w:t xml:space="preserve">This template provides a 40 CFR Part 112-aligned framework for documenting your facility's Spill Prevention, Control, and Countermeasure (SPCC) Plan. Complete every applicable section, attach the required facility diagram and supporting records, and have the plan certified before implementation.</w:t>
      </w:r>
    </w:p>
    <w:p>
      <w:pPr>
        <w:pBdr>
          <w:left w:val="single" w:color="4B7A05" w:sz="18" w:space="8"/>
        </w:pBdr>
        <w:shd w:fill="EEF6E0" w:val="clear"/>
        <w:spacing w:after="80" w:before="120"/>
      </w:pPr>
      <w:r>
        <w:rPr>
          <w:b/>
          <w:bCs/>
        </w:rPr>
        <w:t xml:space="preserve">Certification reminder: </w:t>
      </w:r>
      <w:r>
        <w:t xml:space="preserve">A full SPCC Plan must be reviewed and certified by a licensed Professional Engineer (PE). Facilities that meet the Tier I or Tier II qualified facility criteria may self-certify. Confirm your eligibility before choosing a certification path.</w:t>
      </w:r>
    </w:p>
    <w:p>
      <w:pPr>
        <w:pBdr>
          <w:left w:val="single" w:color="DC3545" w:sz="18" w:space="8"/>
        </w:pBdr>
        <w:shd w:fill="FEF2F2" w:val="clear"/>
        <w:spacing w:after="120" w:before="120"/>
      </w:pPr>
      <w:r>
        <w:rPr>
          <w:b/>
          <w:bCs/>
        </w:rPr>
        <w:t xml:space="preserve">Disclaimer: </w:t>
      </w:r>
      <w:r>
        <w:t xml:space="preserve">This template is a starting framework, not legal advice or a substitute for professional engineering judgment. Regulatory applicability and requirements vary by facility. Have your completed plan reviewed by a qualified environmental professional and, where required, certified by a PE.</w:t>
      </w:r>
    </w:p>
    <w:p>
      <w:r>
        <w:br w:type="page"/>
      </w:r>
    </w:p>
    <w:p>
      <w:pPr>
        <w:pStyle w:val="Heading1"/>
      </w:pPr>
      <w:r>
        <w:t xml:space="preserve">1. Plan Certification and Management Approval</w:t>
      </w:r>
    </w:p>
    <w:p>
      <w:pPr>
        <w:pStyle w:val="Heading2"/>
      </w:pPr>
      <w:r>
        <w:t xml:space="preserve">Professional Engineer Certification (40 CFR 112.3(d))</w:t>
      </w:r>
    </w:p>
    <w:p>
      <w:pPr>
        <w:spacing w:after="120"/>
      </w:pPr>
      <w:r>
        <w:t xml:space="preserve">I hereby certify that I am familiar with the requirements of 40 CFR Part 112; that I or my agent have visited and examined the facility; that this Plan has been prepared in accordance with good engineering practice, including consideration of applicable industry standards and the requirements of this part; that procedures for required inspections and testing have been established; and that the Plan is adequate for the facility.</w:t>
      </w:r>
    </w:p>
    <w:p>
      <w:pPr>
        <w:spacing w:after="100"/>
      </w:pPr>
      <w:r>
        <w:rPr>
          <w:b/>
          <w:bCs/>
        </w:rPr>
        <w:t xml:space="preserve">PE Name:  </w:t>
      </w:r>
      <w:r>
        <w:t xml:space="preserve">______________________________________________</w:t>
      </w:r>
    </w:p>
    <w:p>
      <w:pPr>
        <w:spacing w:after="100"/>
      </w:pPr>
      <w:r>
        <w:rPr>
          <w:b/>
          <w:bCs/>
        </w:rPr>
        <w:t xml:space="preserve">PE Registration No. / State:  </w:t>
      </w:r>
      <w:r>
        <w:t xml:space="preserve">______________________________________________</w:t>
      </w:r>
    </w:p>
    <w:p>
      <w:pPr>
        <w:spacing w:after="100"/>
      </w:pPr>
      <w:r>
        <w:rPr>
          <w:b/>
          <w:bCs/>
        </w:rPr>
        <w:t xml:space="preserve">Signature / Date:  </w:t>
      </w:r>
      <w:r>
        <w:t xml:space="preserve">______________________________________________</w:t>
      </w:r>
    </w:p>
    <w:p>
      <w:pPr>
        <w:pStyle w:val="Heading2"/>
      </w:pPr>
      <w:r>
        <w:t xml:space="preserve">Management Approval and Designated Person (40 CFR 112.7)</w:t>
      </w:r>
    </w:p>
    <w:p>
      <w:pPr>
        <w:spacing w:after="120"/>
      </w:pPr>
      <w:r>
        <w:t xml:space="preserve">Facility management approves this Plan, commits the resources required to implement it, and has designated the person below as accountable for discharge prevention.</w:t>
      </w:r>
    </w:p>
    <w:p>
      <w:pPr>
        <w:spacing w:after="100"/>
      </w:pPr>
      <w:r>
        <w:rPr>
          <w:b/>
          <w:bCs/>
        </w:rPr>
        <w:t xml:space="preserve">Approving Official / Title:  </w:t>
      </w:r>
      <w:r>
        <w:t xml:space="preserve">______________________________________________</w:t>
      </w:r>
    </w:p>
    <w:p>
      <w:pPr>
        <w:spacing w:after="100"/>
      </w:pPr>
      <w:r>
        <w:rPr>
          <w:b/>
          <w:bCs/>
        </w:rPr>
        <w:t xml:space="preserve">Designated Person Accountable for Discharge Prevention:  </w:t>
      </w:r>
      <w:r>
        <w:t xml:space="preserve">______________________________________________</w:t>
      </w:r>
    </w:p>
    <w:p>
      <w:pPr>
        <w:spacing w:after="100"/>
      </w:pPr>
      <w:r>
        <w:rPr>
          <w:b/>
          <w:bCs/>
        </w:rPr>
        <w:t xml:space="preserve">Signature / Date:  </w:t>
      </w:r>
      <w:r>
        <w:t xml:space="preserve">______________________________________________</w:t>
      </w:r>
    </w:p>
    <w:p>
      <w:r>
        <w:br w:type="page"/>
      </w:r>
    </w:p>
    <w:p>
      <w:pPr>
        <w:pStyle w:val="Heading1"/>
      </w:pPr>
      <w:r>
        <w:t xml:space="preserve">2. Facility Information</w:t>
      </w:r>
    </w:p>
    <w:p>
      <w:pPr>
        <w:spacing w:after="100"/>
      </w:pPr>
      <w:r>
        <w:rPr>
          <w:b/>
          <w:bCs/>
        </w:rPr>
        <w:t xml:space="preserve">Owner / Operator:  </w:t>
      </w:r>
      <w:r>
        <w:t xml:space="preserve">______________________________________________</w:t>
      </w:r>
    </w:p>
    <w:p>
      <w:pPr>
        <w:spacing w:after="100"/>
      </w:pPr>
      <w:r>
        <w:rPr>
          <w:b/>
          <w:bCs/>
        </w:rPr>
        <w:t xml:space="preserve">Facility Physical Address:  </w:t>
      </w:r>
      <w:r>
        <w:t xml:space="preserve">______________________________________________</w:t>
      </w:r>
    </w:p>
    <w:p>
      <w:pPr>
        <w:spacing w:after="100"/>
      </w:pPr>
      <w:r>
        <w:rPr>
          <w:b/>
          <w:bCs/>
        </w:rPr>
        <w:t xml:space="preserve">Mailing Address (if different):  </w:t>
      </w:r>
      <w:r>
        <w:t xml:space="preserve">______________________________________________</w:t>
      </w:r>
    </w:p>
    <w:p>
      <w:pPr>
        <w:spacing w:after="100"/>
      </w:pPr>
      <w:r>
        <w:rPr>
          <w:b/>
          <w:bCs/>
        </w:rPr>
        <w:t xml:space="preserve">County / Geographic Coordinates (lat/long):  </w:t>
      </w:r>
      <w:r>
        <w:t xml:space="preserve">______________________________________________</w:t>
      </w:r>
    </w:p>
    <w:p>
      <w:pPr>
        <w:spacing w:after="100"/>
      </w:pPr>
      <w:r>
        <w:rPr>
          <w:b/>
          <w:bCs/>
        </w:rPr>
        <w:t xml:space="preserve">Primary Facility Contact / Phone:  </w:t>
      </w:r>
      <w:r>
        <w:t xml:space="preserve">______________________________________________</w:t>
      </w:r>
    </w:p>
    <w:p>
      <w:pPr>
        <w:spacing w:after="100"/>
      </w:pPr>
      <w:r>
        <w:rPr>
          <w:b/>
          <w:bCs/>
        </w:rPr>
        <w:t xml:space="preserve">Type of Facility / Primary Operations:  </w:t>
      </w:r>
      <w:r>
        <w:t xml:space="preserve">______________________________________________</w:t>
      </w:r>
    </w:p>
    <w:p>
      <w:pPr>
        <w:spacing w:after="100"/>
      </w:pPr>
      <w:r>
        <w:rPr>
          <w:b/>
          <w:bCs/>
        </w:rPr>
        <w:t xml:space="preserve">North American Industry Classification (NAICS):  </w:t>
      </w:r>
      <w:r>
        <w:t xml:space="preserve">______________________________________________</w:t>
      </w:r>
    </w:p>
    <w:p>
      <w:pPr>
        <w:spacing w:after="100"/>
      </w:pPr>
      <w:r>
        <w:rPr>
          <w:b/>
          <w:bCs/>
        </w:rPr>
        <w:t xml:space="preserve">Date of Initial Facility Operation:  </w:t>
      </w:r>
      <w:r>
        <w:t xml:space="preserve">______________________________________________</w:t>
      </w:r>
    </w:p>
    <w:p>
      <w:pPr>
        <w:pStyle w:val="Heading2"/>
      </w:pPr>
      <w:r>
        <w:t xml:space="preserve">Applicability Summary</w:t>
      </w:r>
    </w:p>
    <w:p>
      <w:pPr>
        <w:spacing w:after="120"/>
      </w:pPr>
      <w:r>
        <w:rPr>
          <w:i/>
          <w:iCs/>
          <w:color w:val="666666"/>
        </w:rPr>
        <w:t xml:space="preserve">Confirm the facility meets SPCC applicability before completing this plan.</w:t>
      </w:r>
    </w:p>
    <w:p>
      <w:pPr>
        <w:pStyle w:val="ListParagraph"/>
        <w:numPr>
          <w:ilvl w:val="0"/>
          <w:numId w:val="2"/>
        </w:numPr>
        <w:spacing w:after="40"/>
      </w:pPr>
      <w:r>
        <w:t xml:space="preserve">Facility is non-transportation-related.</w:t>
      </w:r>
    </w:p>
    <w:p>
      <w:pPr>
        <w:pStyle w:val="ListParagraph"/>
        <w:numPr>
          <w:ilvl w:val="0"/>
          <w:numId w:val="2"/>
        </w:numPr>
        <w:spacing w:after="40"/>
      </w:pPr>
      <w:r>
        <w:t xml:space="preserve">Aggregate aboveground oil storage capacity is greater than 1,320 U.S. gallons (counting only containers 55 gallons and larger), OR completely buried storage capacity exceeds 42,000 U.S. gallons.</w:t>
      </w:r>
    </w:p>
    <w:p>
      <w:pPr>
        <w:pStyle w:val="ListParagraph"/>
        <w:numPr>
          <w:ilvl w:val="0"/>
          <w:numId w:val="2"/>
        </w:numPr>
        <w:spacing w:after="40"/>
      </w:pPr>
      <w:r>
        <w:t xml:space="preserve">A discharge of oil to navigable waters or adjoining shorelines could reasonably be expected based on facility location.</w:t>
      </w:r>
    </w:p>
    <w:p>
      <w:pPr>
        <w:spacing w:after="100"/>
      </w:pPr>
      <w:r>
        <w:rPr>
          <w:b/>
          <w:bCs/>
        </w:rPr>
        <w:t xml:space="preserve">Total aboveground oil storage capacity (gallons):  </w:t>
      </w:r>
      <w:r>
        <w:t xml:space="preserve">______________________________________________</w:t>
      </w:r>
    </w:p>
    <w:p>
      <w:pPr>
        <w:spacing w:after="100"/>
      </w:pPr>
      <w:r>
        <w:rPr>
          <w:b/>
          <w:bCs/>
        </w:rPr>
        <w:t xml:space="preserve">Total completely buried storage capacity (gallons):  </w:t>
      </w:r>
      <w:r>
        <w:t xml:space="preserve">______________________________________________</w:t>
      </w:r>
    </w:p>
    <w:p>
      <w:r>
        <w:br w:type="page"/>
      </w:r>
    </w:p>
    <w:p>
      <w:pPr>
        <w:pStyle w:val="Heading1"/>
      </w:pPr>
      <w:r>
        <w:t xml:space="preserve">3. Facility Diagram and Description (40 CFR 112.7(a))</w:t>
      </w:r>
    </w:p>
    <w:p>
      <w:pPr>
        <w:spacing w:after="120"/>
      </w:pPr>
      <w:r>
        <w:t xml:space="preserve">Provide a narrative description of facility operations and attach a facility diagram marking the location and contents of each oil storage container, completely buried tanks, transfer stations, connecting piping, and the predicted direction of flow toward navigable waters in the event of a discharge.</w:t>
      </w:r>
    </w:p>
    <w:p>
      <w:pPr>
        <w:spacing w:after="100"/>
      </w:pPr>
      <w:r>
        <w:rPr>
          <w:b/>
          <w:bCs/>
        </w:rPr>
        <w:t xml:space="preserve">Facility description (attach diagram as Appendix A):  </w:t>
      </w:r>
      <w:r>
        <w:t xml:space="preserve">______________________________________________</w:t>
      </w:r>
    </w:p>
    <w:p>
      <w:pPr>
        <w:spacing w:after="120"/>
      </w:pPr>
      <w:r>
        <w:rPr>
          <w:i/>
          <w:iCs/>
          <w:color w:val="666666"/>
        </w:rPr>
        <w:t xml:space="preserve">[Insert or attach facility diagram here]</w:t>
      </w:r>
    </w:p>
    <w:p>
      <w:r>
        <w:br w:type="page"/>
      </w:r>
    </w:p>
    <w:p>
      <w:pPr>
        <w:pStyle w:val="Heading1"/>
      </w:pPr>
      <w:r>
        <w:t xml:space="preserve">4. Oil Storage Container Inventory (40 CFR 112.7(a)(3)(i))</w:t>
      </w:r>
    </w:p>
    <w:p>
      <w:pPr>
        <w:spacing w:after="120"/>
      </w:pPr>
      <w:r>
        <w:rPr>
          <w:i/>
          <w:iCs/>
          <w:color w:val="666666"/>
        </w:rPr>
        <w:t xml:space="preserve">List every oil storage container 55 gallons and larger, including oil-filled operational and manufacturing equipment.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000"/>
        <w:gridCol w:w="2200"/>
        <w:gridCol w:w="1500"/>
        <w:gridCol w:w="2100"/>
      </w:tblGrid>
      <w:tr>
        <w:trPr>
          <w:tblHeader/>
        </w:trPr>
        <w:tc>
          <w:tcPr>
            <w:tcW w:type="dxa" w:w="156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Container ID</w:t>
            </w:r>
          </w:p>
        </w:tc>
        <w:tc>
          <w:tcPr>
            <w:tcW w:type="dxa" w:w="20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Type / Material</w:t>
            </w:r>
          </w:p>
        </w:tc>
        <w:tc>
          <w:tcPr>
            <w:tcW w:type="dxa" w:w="22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Oil Type / Contents</w:t>
            </w:r>
          </w:p>
        </w:tc>
        <w:tc>
          <w:tcPr>
            <w:tcW w:type="dxa" w:w="15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Capacity (gal)</w:t>
            </w:r>
          </w:p>
        </w:tc>
        <w:tc>
          <w:tcPr>
            <w:tcW w:type="dxa" w:w="21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Secondary Containment?</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bl>
    <w:p>
      <w:r>
        <w:br w:type="page"/>
      </w:r>
    </w:p>
    <w:p>
      <w:pPr>
        <w:pStyle w:val="Heading1"/>
      </w:pPr>
      <w:r>
        <w:t xml:space="preserve">5. Potential Discharge Volumes and Flow Direction (40 CFR 112.7(b))</w:t>
      </w:r>
    </w:p>
    <w:p>
      <w:pPr>
        <w:spacing w:after="120"/>
      </w:pPr>
      <w:r>
        <w:t xml:space="preserve">For each container or area, describe the predicted direction, rate of flow, and total quantity of oil that could be discharged where experience indicates a reasonable potential for equipment failure.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160"/>
        <w:gridCol w:w="2400"/>
      </w:tblGrid>
      <w:tr>
        <w:trPr>
          <w:tblHeader/>
        </w:trPr>
        <w:tc>
          <w:tcPr>
            <w:tcW w:type="dxa" w:w="24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Source / Container ID</w:t>
            </w:r>
          </w:p>
        </w:tc>
        <w:tc>
          <w:tcPr>
            <w:tcW w:type="dxa" w:w="24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Failure Scenario</w:t>
            </w:r>
          </w:p>
        </w:tc>
        <w:tc>
          <w:tcPr>
            <w:tcW w:type="dxa" w:w="216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Predicted Volume (gal)</w:t>
            </w:r>
          </w:p>
        </w:tc>
        <w:tc>
          <w:tcPr>
            <w:tcW w:type="dxa" w:w="24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Flow Direction / Pathway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bl>
    <w:p>
      <w:r>
        <w:br w:type="page"/>
      </w:r>
    </w:p>
    <w:p>
      <w:pPr>
        <w:pStyle w:val="Heading1"/>
      </w:pPr>
      <w:r>
        <w:t xml:space="preserve">6. Containment and Secondary Containment (40 CFR 112.7(c) and 112.8(c)(2))</w:t>
      </w:r>
    </w:p>
    <w:p>
      <w:pPr>
        <w:spacing w:after="120"/>
      </w:pPr>
      <w:r>
        <w:t xml:space="preserve">Describe the secondary containment or diversionary structures provided for each container and bulk storage area. Sized containment must hold the capacity of the largest single container plus sufficient freeboard for precipitation. Document the sizing calculation for each containment area.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2160"/>
        <w:gridCol w:w="1800"/>
        <w:gridCol w:w="1600"/>
      </w:tblGrid>
      <w:tr>
        <w:trPr>
          <w:tblHeader/>
        </w:trPr>
        <w:tc>
          <w:tcPr>
            <w:tcW w:type="dxa" w:w="20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Containment Area</w:t>
            </w:r>
          </w:p>
        </w:tc>
        <w:tc>
          <w:tcPr>
            <w:tcW w:type="dxa" w:w="18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Largest Container (gal)</w:t>
            </w:r>
          </w:p>
        </w:tc>
        <w:tc>
          <w:tcPr>
            <w:tcW w:type="dxa" w:w="216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Freeboard / Precipitation Allowance</w:t>
            </w:r>
          </w:p>
        </w:tc>
        <w:tc>
          <w:tcPr>
            <w:tcW w:type="dxa" w:w="18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Containment Capacity (gal)</w:t>
            </w:r>
          </w:p>
        </w:tc>
        <w:tc>
          <w:tcPr>
            <w:tcW w:type="dxa" w:w="16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Adequate? (Y/N)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bl>
    <w:p>
      <w:pPr>
        <w:pStyle w:val="Heading2"/>
      </w:pPr>
      <w:r>
        <w:t xml:space="preserve">Bulk Storage Container Drainage of Uncontaminated Rainwater (112.8(c)(3))</w:t>
      </w:r>
    </w:p>
    <w:p>
      <w:pPr>
        <w:spacing w:after="120"/>
      </w:pPr>
      <w:r>
        <w:t xml:space="preserve">Describe the procedure for inspecting and draining accumulated rainwater from diked areas, including the locked-closed condition of drainage valves and the inspection performed before each drainage event.</w:t>
      </w:r>
    </w:p>
    <w:p>
      <w:pPr>
        <w:spacing w:after="100"/>
      </w:pPr>
      <w:r>
        <w:rPr>
          <w:b/>
          <w:bCs/>
        </w:rPr>
        <w:t xml:space="preserve">Rainwater drainage procedure:  </w:t>
      </w:r>
      <w:r>
        <w:t xml:space="preserve">______________________________________________</w:t>
      </w:r>
    </w:p>
    <w:p>
      <w:r>
        <w:br w:type="page"/>
      </w:r>
    </w:p>
    <w:p>
      <w:pPr>
        <w:pStyle w:val="Heading1"/>
      </w:pPr>
      <w:r>
        <w:t xml:space="preserve">7. Discharge Prevention and Control Measures</w:t>
      </w:r>
    </w:p>
    <w:p>
      <w:pPr>
        <w:pStyle w:val="Heading2"/>
      </w:pPr>
      <w:r>
        <w:t xml:space="preserve">Facility Drainage (40 CFR 112.8(b))</w:t>
      </w:r>
    </w:p>
    <w:p>
      <w:pPr>
        <w:spacing w:after="120"/>
      </w:pPr>
      <w:r>
        <w:t xml:space="preserve">Describe how facility drainage from undiked areas and diked storage areas is controlled to prevent a discharge to navigable waters.</w:t>
      </w:r>
    </w:p>
    <w:p>
      <w:pPr>
        <w:spacing w:after="100"/>
      </w:pPr>
      <w:r>
        <w:rPr>
          <w:b/>
          <w:bCs/>
        </w:rPr>
        <w:t xml:space="preserve">Drainage controls:  </w:t>
      </w:r>
      <w:r>
        <w:t xml:space="preserve">______________________________________________</w:t>
      </w:r>
    </w:p>
    <w:p>
      <w:pPr>
        <w:pStyle w:val="Heading2"/>
      </w:pPr>
      <w:r>
        <w:t xml:space="preserve">Bulk Storage Containers (40 CFR 112.8(c))</w:t>
      </w:r>
    </w:p>
    <w:p>
      <w:pPr>
        <w:spacing w:after="120"/>
      </w:pPr>
      <w:r>
        <w:t xml:space="preserve">Describe container compatibility with stored material, secondary containment, corrosion protection, and integrity testing program (see Section 9).</w:t>
      </w:r>
    </w:p>
    <w:p>
      <w:pPr>
        <w:spacing w:after="100"/>
      </w:pPr>
      <w:r>
        <w:rPr>
          <w:b/>
          <w:bCs/>
        </w:rPr>
        <w:t xml:space="preserve">Bulk storage measures:  </w:t>
      </w:r>
      <w:r>
        <w:t xml:space="preserve">______________________________________________</w:t>
      </w:r>
    </w:p>
    <w:p>
      <w:pPr>
        <w:pStyle w:val="Heading2"/>
      </w:pPr>
      <w:r>
        <w:t xml:space="preserve">Facility Transfer Operations, Pumping, and Piping (40 CFR 112.8(d))</w:t>
      </w:r>
    </w:p>
    <w:p>
      <w:pPr>
        <w:spacing w:after="120"/>
      </w:pPr>
      <w:r>
        <w:t xml:space="preserve">Describe buried and aboveground piping protections, the inspection of piping and supports, warning signs at loading/unloading areas, and procedures for out-of-service piping.</w:t>
      </w:r>
    </w:p>
    <w:p>
      <w:pPr>
        <w:spacing w:after="100"/>
      </w:pPr>
      <w:r>
        <w:rPr>
          <w:b/>
          <w:bCs/>
        </w:rPr>
        <w:t xml:space="preserve">Transfer and piping measures:  </w:t>
      </w:r>
      <w:r>
        <w:t xml:space="preserve">______________________________________________</w:t>
      </w:r>
    </w:p>
    <w:p>
      <w:r>
        <w:br w:type="page"/>
      </w:r>
    </w:p>
    <w:p>
      <w:pPr>
        <w:pStyle w:val="Heading1"/>
      </w:pPr>
      <w:r>
        <w:t xml:space="preserve">8. Inspections, Tests, and Records (40 CFR 112.8(c)(6) and 112.7(e))</w:t>
      </w:r>
    </w:p>
    <w:p>
      <w:pPr>
        <w:spacing w:after="120"/>
      </w:pPr>
      <w:r>
        <w:t xml:space="preserve">Document the inspection and testing program. Maintain signed records for at least three years. Visual inspections of bulk storage containers and integrity testing must follow industry standards (e.g., STI SP001, API 653).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1560"/>
        <w:gridCol w:w="1800"/>
        <w:gridCol w:w="1800"/>
      </w:tblGrid>
      <w:tr>
        <w:trPr>
          <w:tblHeader/>
        </w:trPr>
        <w:tc>
          <w:tcPr>
            <w:tcW w:type="dxa" w:w="20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Inspection / Test</w:t>
            </w:r>
          </w:p>
        </w:tc>
        <w:tc>
          <w:tcPr>
            <w:tcW w:type="dxa" w:w="22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Scope</w:t>
            </w:r>
          </w:p>
        </w:tc>
        <w:tc>
          <w:tcPr>
            <w:tcW w:type="dxa" w:w="156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Frequency</w:t>
            </w:r>
          </w:p>
        </w:tc>
        <w:tc>
          <w:tcPr>
            <w:tcW w:type="dxa" w:w="18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Responsible Person</w:t>
            </w:r>
          </w:p>
        </w:tc>
        <w:tc>
          <w:tcPr>
            <w:tcW w:type="dxa" w:w="18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Standard / Reference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Monthly visual inspection</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Bulk storage containers, containment</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Monthly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112.8(c)(6)</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Integrity testing</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Aboveground bulk containers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STI SP001 / API 653</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Piping inspection</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Aboveground piping &amp; supports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112.8(d)(4)</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bl>
    <w:p>
      <w:r>
        <w:br w:type="page"/>
      </w:r>
    </w:p>
    <w:p>
      <w:pPr>
        <w:pStyle w:val="Heading1"/>
      </w:pPr>
      <w:r>
        <w:t xml:space="preserve">9. Personnel Training and Discharge Prevention Briefings (40 CFR 112.7(f))</w:t>
      </w:r>
    </w:p>
    <w:p>
      <w:pPr>
        <w:spacing w:after="120"/>
      </w:pPr>
      <w:r>
        <w:t xml:space="preserve">Oil-handling personnel must be trained in the operation and maintenance of equipment to prevent discharges, applicable pollution control laws, the contents of this Plan, and general facility operations. The owner/operator must conduct discharge prevention briefings at least once a year.</w:t>
      </w:r>
    </w:p>
    <w:p>
      <w:pPr>
        <w:spacing w:after="100"/>
      </w:pPr>
      <w:r>
        <w:rPr>
          <w:b/>
          <w:bCs/>
        </w:rPr>
        <w:t xml:space="preserve">Designated training coordinator:  </w:t>
      </w:r>
      <w:r>
        <w:t xml:space="preserve">______________________________________________</w:t>
      </w:r>
    </w:p>
    <w:p>
      <w:pPr>
        <w:spacing w:after="100"/>
      </w:pPr>
      <w:r>
        <w:rPr>
          <w:b/>
          <w:bCs/>
        </w:rPr>
        <w:t xml:space="preserve">Training frequency / last briefing date:  </w:t>
      </w:r>
      <w:r>
        <w:t xml:space="preserve">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60"/>
        <w:gridCol w:w="2600"/>
        <w:gridCol w:w="2000"/>
        <w:gridCol w:w="2000"/>
      </w:tblGrid>
      <w:tr>
        <w:trPr>
          <w:tblHeader/>
        </w:trPr>
        <w:tc>
          <w:tcPr>
            <w:tcW w:type="dxa" w:w="276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Employee / Role</w:t>
            </w:r>
          </w:p>
        </w:tc>
        <w:tc>
          <w:tcPr>
            <w:tcW w:type="dxa" w:w="26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Training Topic</w:t>
            </w:r>
          </w:p>
        </w:tc>
        <w:tc>
          <w:tcPr>
            <w:tcW w:type="dxa" w:w="20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Date Completed</w:t>
            </w:r>
          </w:p>
        </w:tc>
        <w:tc>
          <w:tcPr>
            <w:tcW w:type="dxa" w:w="20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Trainer</w:t>
            </w:r>
          </w:p>
        </w:tc>
      </w:tr>
      <w:tr>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bl>
    <w:p>
      <w:r>
        <w:br w:type="page"/>
      </w:r>
    </w:p>
    <w:p>
      <w:pPr>
        <w:pStyle w:val="Heading1"/>
      </w:pPr>
      <w:r>
        <w:t xml:space="preserve">10. Facility Security (40 CFR 112.7(g))</w:t>
      </w:r>
    </w:p>
    <w:p>
      <w:pPr>
        <w:spacing w:after="120"/>
      </w:pPr>
      <w:r>
        <w:t xml:space="preserve">Describe how the facility addresses security to prevent unauthorized access and tampering with oil storage and handling equipment.</w:t>
      </w:r>
    </w:p>
    <w:p>
      <w:pPr>
        <w:pStyle w:val="ListParagraph"/>
        <w:numPr>
          <w:ilvl w:val="0"/>
          <w:numId w:val="2"/>
        </w:numPr>
        <w:spacing w:after="40"/>
      </w:pPr>
      <w:r>
        <w:t xml:space="preserve">Fencing and controlled facility access</w:t>
      </w:r>
    </w:p>
    <w:p>
      <w:pPr>
        <w:pStyle w:val="ListParagraph"/>
        <w:numPr>
          <w:ilvl w:val="0"/>
          <w:numId w:val="2"/>
        </w:numPr>
        <w:spacing w:after="40"/>
      </w:pPr>
      <w:r>
        <w:t xml:space="preserve">Locking or securing of master flow and drain valves</w:t>
      </w:r>
    </w:p>
    <w:p>
      <w:pPr>
        <w:pStyle w:val="ListParagraph"/>
        <w:numPr>
          <w:ilvl w:val="0"/>
          <w:numId w:val="2"/>
        </w:numPr>
        <w:spacing w:after="40"/>
      </w:pPr>
      <w:r>
        <w:t xml:space="preserve">Securing of starter controls on oil pumps</w:t>
      </w:r>
    </w:p>
    <w:p>
      <w:pPr>
        <w:pStyle w:val="ListParagraph"/>
        <w:numPr>
          <w:ilvl w:val="0"/>
          <w:numId w:val="2"/>
        </w:numPr>
        <w:spacing w:after="40"/>
      </w:pPr>
      <w:r>
        <w:t xml:space="preserve">Capping or blank-flanging of loading/unloading connections</w:t>
      </w:r>
    </w:p>
    <w:p>
      <w:pPr>
        <w:pStyle w:val="ListParagraph"/>
        <w:numPr>
          <w:ilvl w:val="0"/>
          <w:numId w:val="2"/>
        </w:numPr>
        <w:spacing w:after="40"/>
      </w:pPr>
      <w:r>
        <w:t xml:space="preserve">Facility lighting for discharge detection and deterrence</w:t>
      </w:r>
    </w:p>
    <w:p>
      <w:pPr>
        <w:spacing w:after="100"/>
      </w:pPr>
      <w:r>
        <w:rPr>
          <w:b/>
          <w:bCs/>
        </w:rPr>
        <w:t xml:space="preserve">Additional security measures:  </w:t>
      </w:r>
      <w:r>
        <w:t xml:space="preserve">______________________________________________</w:t>
      </w:r>
    </w:p>
    <w:p>
      <w:r>
        <w:br w:type="page"/>
      </w:r>
    </w:p>
    <w:p>
      <w:pPr>
        <w:pStyle w:val="Heading1"/>
      </w:pPr>
      <w:r>
        <w:t xml:space="preserve">11. Discharge Response and Notification Procedures (40 CFR 112.7(a)(3))</w:t>
      </w:r>
    </w:p>
    <w:p>
      <w:pPr>
        <w:spacing w:after="120"/>
      </w:pPr>
      <w:r>
        <w:t xml:space="preserve">Describe the actions personnel will take in the event of a discharge, including containment, cleanup, and disposal, and the notifications required. Post emergency contacts where oil is handled.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360"/>
        <w:gridCol w:w="2000"/>
        <w:gridCol w:w="2800"/>
      </w:tblGrid>
      <w:tr>
        <w:trPr>
          <w:tblHeader/>
        </w:trPr>
        <w:tc>
          <w:tcPr>
            <w:tcW w:type="dxa" w:w="22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Notification</w:t>
            </w:r>
          </w:p>
        </w:tc>
        <w:tc>
          <w:tcPr>
            <w:tcW w:type="dxa" w:w="236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Contact</w:t>
            </w:r>
          </w:p>
        </w:tc>
        <w:tc>
          <w:tcPr>
            <w:tcW w:type="dxa" w:w="20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Phone</w:t>
            </w:r>
          </w:p>
        </w:tc>
        <w:tc>
          <w:tcPr>
            <w:tcW w:type="dxa" w:w="28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When to Notify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National Response Center</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NRC</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1-800-424-8802</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Any discharge to navigable waters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State agency</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Per state reporting thresholds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Local emergency / LEPC</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Per local requirements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Facility response coordinator</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Immediately upon discovery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Cleanup contractor</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As needed</w:t>
            </w:r>
          </w:p>
        </w:tc>
      </w:tr>
    </w:tbl>
    <w:p>
      <w:pPr>
        <w:spacing w:after="120"/>
      </w:pPr>
      <w:r>
        <w:rPr>
          <w:i/>
          <w:iCs/>
          <w:color w:val="666666"/>
        </w:rPr>
        <w:t xml:space="preserve">Report a discharge to the NRC if it reaches navigable waters or, under 112.4, where reporting thresholds (single discharge over 1,000 gallons, or two discharges over 42 gallons each within 12 months) are met.</w:t>
      </w:r>
    </w:p>
    <w:p>
      <w:r>
        <w:br w:type="page"/>
      </w:r>
    </w:p>
    <w:p>
      <w:pPr>
        <w:pStyle w:val="Heading1"/>
      </w:pPr>
      <w:r>
        <w:t xml:space="preserve">12. Five-Year Review Log (40 CFR 112.5(b))</w:t>
      </w:r>
    </w:p>
    <w:p>
      <w:pPr>
        <w:spacing w:after="120"/>
      </w:pPr>
      <w:r>
        <w:t xml:space="preserve">Review and evaluate this Plan at least once every five years. Document each review, whether or not amendments were made.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560"/>
        <w:gridCol w:w="2400"/>
        <w:gridCol w:w="2400"/>
      </w:tblGrid>
      <w:tr>
        <w:trPr>
          <w:tblHeader/>
        </w:trPr>
        <w:tc>
          <w:tcPr>
            <w:tcW w:type="dxa" w:w="20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Review Date</w:t>
            </w:r>
          </w:p>
        </w:tc>
        <w:tc>
          <w:tcPr>
            <w:tcW w:type="dxa" w:w="256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Reviewed By</w:t>
            </w:r>
          </w:p>
        </w:tc>
        <w:tc>
          <w:tcPr>
            <w:tcW w:type="dxa" w:w="24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Amendment Needed? (Y/N)</w:t>
            </w:r>
          </w:p>
        </w:tc>
        <w:tc>
          <w:tcPr>
            <w:tcW w:type="dxa" w:w="24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Notes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bl>
    <w:p>
      <w:pPr>
        <w:pStyle w:val="Heading2"/>
      </w:pPr>
      <w:r>
        <w:t xml:space="preserve">Plan Amendment Log (40 CFR 112.5(a))</w:t>
      </w:r>
    </w:p>
    <w:p>
      <w:pPr>
        <w:spacing w:after="120"/>
      </w:pPr>
      <w:r>
        <w:t xml:space="preserve">Amend this Plan whenever a change in facility design, construction, operation, or maintenance materially affects the potential for a discharge. PE-certified amendments must be implemented within six months.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360"/>
        <w:gridCol w:w="2000"/>
        <w:gridCol w:w="2000"/>
      </w:tblGrid>
      <w:tr>
        <w:trPr>
          <w:tblHeader/>
        </w:trPr>
        <w:tc>
          <w:tcPr>
            <w:tcW w:type="dxa" w:w="20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Amendment Date</w:t>
            </w:r>
          </w:p>
        </w:tc>
        <w:tc>
          <w:tcPr>
            <w:tcW w:type="dxa" w:w="336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Description of Change</w:t>
            </w:r>
          </w:p>
        </w:tc>
        <w:tc>
          <w:tcPr>
            <w:tcW w:type="dxa" w:w="20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Re-Certified? (PE/Self)</w:t>
            </w:r>
          </w:p>
        </w:tc>
        <w:tc>
          <w:tcPr>
            <w:tcW w:type="dxa" w:w="2000"/>
            <w:tcBorders>
              <w:top w:val="single" w:color="CCCCCC" w:sz="1"/>
              <w:left w:val="single" w:color="CCCCCC" w:sz="1"/>
              <w:bottom w:val="single" w:color="CCCCCC" w:sz="1"/>
              <w:right w:val="single" w:color="CCCCCC" w:sz="1"/>
            </w:tcBorders>
            <w:shd w:fill="224B7B" w:val="clear"/>
            <w:tcMar>
              <w:top w:type="dxa" w:w="80"/>
              <w:left w:type="dxa" w:w="120"/>
              <w:bottom w:type="dxa" w:w="80"/>
              <w:right w:type="dxa" w:w="120"/>
            </w:tcMar>
          </w:tcPr>
          <w:p>
            <w:r>
              <w:rPr>
                <w:b/>
                <w:bCs/>
                <w:color w:val="FFFFFF"/>
                <w:sz w:val="18"/>
                <w:szCs w:val="18"/>
              </w:rPr>
              <w:t xml:space="preserve">Implemented Date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18"/>
                <w:szCs w:val="18"/>
              </w:rPr>
              <w:t xml:space="preserve"/>
            </w:r>
          </w:p>
        </w:tc>
      </w:tr>
    </w:tbl>
    <w:p>
      <w:r>
        <w:br w:type="page"/>
      </w:r>
    </w:p>
    <w:p>
      <w:pPr>
        <w:pStyle w:val="Heading1"/>
      </w:pPr>
      <w:r>
        <w:t xml:space="preserve">Maintain This Plan Automatically with Ecesis SPCC Software</w:t>
      </w:r>
    </w:p>
    <w:p>
      <w:pPr>
        <w:spacing w:after="120"/>
      </w:pPr>
      <w:r>
        <w:t xml:space="preserve">Keeping an SPCC plan current as containers, containment, and operations change is where most facilities fall behind. Ecesis SPCC Software generates plan appendices, container inventories, and containment calculations directly from your live facility data, tracks inspection and integrity-testing deadlines, and flags the amendment triggers that require a plan update.</w:t>
      </w:r>
    </w:p>
    <w:p>
      <w:pPr>
        <w:spacing w:before="80"/>
      </w:pPr>
      <w:r>
        <w:t xml:space="preserve">Learn more at </w:t>
      </w:r>
      <w:hyperlink w:history="1" r:id="rIdz_3xtm2mquzcvmox0sk9l">
        <w:r>
          <w:rPr>
            <w:rStyle w:val="Hyperlink"/>
          </w:rPr>
          <w:t xml:space="preserve">ecesis.net/SPCC-Software</w:t>
        </w:r>
      </w:hyperlink>
      <w:r>
        <w:t xml:space="preserve"> or call (720) 547-5102.</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color w:val="666666"/>
        <w:sz w:val="16"/>
        <w:szCs w:val="16"/>
      </w:rPr>
      <w:t xml:space="preserve">Template by Ecesis EHS Software  |  ecesis.net/SPCC-Software</w:t>
    </w:r>
    <w:r>
      <w:rPr>
        <w:color w:val="666666"/>
        <w:sz w:val="16"/>
        <w:szCs w:val="16"/>
      </w:rPr>
      <w:t xml:space="preserve">	Page </w:t>
    </w:r>
    <w:r>
      <w:rPr>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16"/>
        <w:szCs w:val="16"/>
      </w:rPr>
      <w:t xml:space="preserve">SPCC Plan  |  40 CFR Part 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E0E0E0" w:sz="6" w:space="4"/>
      </w:pBdr>
      <w:spacing w:after="160" w:before="240"/>
      <w:outlineLvl w:val="0"/>
    </w:pPr>
    <w:rPr>
      <w:rFonts w:ascii="Arial" w:cs="Arial" w:eastAsia="Arial" w:hAnsi="Arial"/>
      <w:b/>
      <w:bCs/>
      <w:color w:val="224B7B"/>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224B7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z_3xtm2mquzcvmox0sk9l" Type="http://schemas.openxmlformats.org/officeDocument/2006/relationships/hyperlink" Target="https://www.ecesis.net/SPCC-Software.aspx"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SPCC Plan Template</dc:title>
  <dc:creator>Ecesis EHS Software</dc:creator>
  <dc:description>Spill Prevention, Control, and Countermeasure (SPCC) Plan template aligned to 40 CFR Part 112.</dc:description>
  <cp:lastModifiedBy>Un-named</cp:lastModifiedBy>
  <cp:revision>1</cp:revision>
  <dcterms:created xsi:type="dcterms:W3CDTF">2026-06-27T16:46:00.999Z</dcterms:created>
  <dcterms:modified xsi:type="dcterms:W3CDTF">2026-06-27T16:46:00.999Z</dcterms:modified>
</cp:coreProperties>
</file>

<file path=docProps/custom.xml><?xml version="1.0" encoding="utf-8"?>
<Properties xmlns="http://schemas.openxmlformats.org/officeDocument/2006/custom-properties" xmlns:vt="http://schemas.openxmlformats.org/officeDocument/2006/docPropsVTypes"/>
</file>