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224B7B"/>
          <w:sz w:val="32"/>
          <w:szCs w:val="32"/>
        </w:rPr>
        <w:t xml:space="preserve">Fire Sprinkler System Inspection Checklist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Inspector: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Building/Location: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System Type: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Wet / Dry / Pre-Action / Deluge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Inspection Type: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Weekly / Monthly / Quarterly / Annual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Monitoring Company: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before="20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224B7B"/>
          <w:sz w:val="24"/>
          <w:szCs w:val="24"/>
        </w:rPr>
        <w:t xml:space="preserve">Part 1: Sprinkler Heads &amp; Piping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160"/>
      </w:tblGrid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 / Fail /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Sprinkler heads free of corrosion, paint, physical damage, and foreign material (annual)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 obstructions within 18 inches below sprinkler deflectors (standard spray type)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Spare sprinkler supply: minimum 6 of each type/temp rating with wrench for each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Piping and fittings: no damage, leaks, corrosion, or misalignment (annual)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Hangers and seismic bracing intact, undamaged, and securely attached (annual)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Sprinkler head age and replacement schedule tracked (fast-response: 25 yr; standard: 50 yr)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</w:tbl>
    <w:p>
      <w:pPr>
        <w:spacing w:before="200" w:after="100"/>
      </w:pPr>
      <w:r>
        <w:rPr>
          <w:rFonts w:ascii="Arial" w:cs="Arial" w:eastAsia="Arial" w:hAnsi="Arial"/>
          <w:b/>
          <w:bCs/>
          <w:color w:val="224B7B"/>
          <w:sz w:val="24"/>
          <w:szCs w:val="24"/>
        </w:rPr>
        <w:t xml:space="preserve">Part 2: Control Valves &amp; Water Supply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160"/>
      </w:tblGrid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 / Fail /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 control valves in normal open position, sealed/locked/supervised (weekly/monthly)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System gauges within normal operating range (weekly dry/pre-action; monthly wet pipe)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Alarm valve condition: clean, no damage, no leaks, trim valves correct (monthly)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Main drain test completed; static and residual pressures recorded and compared (quarterly)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Fire department connection (FDC) visible, accessible, couplings/caps intact (quarterly)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</w:tbl>
    <w:p>
      <w:pPr>
        <w:spacing w:before="200" w:after="100"/>
      </w:pPr>
      <w:r>
        <w:rPr>
          <w:rFonts w:ascii="Arial" w:cs="Arial" w:eastAsia="Arial" w:hAnsi="Arial"/>
          <w:b/>
          <w:bCs/>
          <w:color w:val="224B7B"/>
          <w:sz w:val="24"/>
          <w:szCs w:val="24"/>
        </w:rPr>
        <w:t xml:space="preserve">Part 3: System-Specific Components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160"/>
      </w:tblGrid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 / Fail /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Dry pipe valve: gauges normal (weekly); full trip test completed (annual)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Pre-action/deluge valves: visual (quarterly); full trip test with detection (annual)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Waterflow alarm devices tested; alarm within 90 seconds of sustained flow (semiannual)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Antifreeze solution concentration tested before freezing season (annual)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Inspector's test connection accessible, functional, and drain piped to safe discharge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</w:tbl>
    <w:p>
      <w:pPr>
        <w:spacing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C3545" w:sz="1"/>
              <w:left w:val="single" w:color="DC3545" w:sz="6"/>
              <w:bottom w:val="single" w:color="DC3545" w:sz="1"/>
              <w:right w:val="single" w:color="DC3545" w:sz="1"/>
            </w:tcBorders>
            <w:shd w:fill="FE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⚠ WARNING: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When any sprinkler system or portion is taken out of service, implement a fire watch immediately. Notify alarm monitoring company, fire department, insurance carrier, and building occupants per NFPA 25 Chapter 15.</w:t>
            </w:r>
          </w:p>
        </w:tc>
      </w:tr>
    </w:tbl>
    <w:p>
      <w:pPr>
        <w:spacing w:before="200" w:after="100"/>
      </w:pPr>
      <w:r>
        <w:rPr>
          <w:rFonts w:ascii="Arial" w:cs="Arial" w:eastAsia="Arial" w:hAnsi="Arial"/>
          <w:b/>
          <w:bCs/>
          <w:color w:val="224B7B"/>
          <w:sz w:val="24"/>
          <w:szCs w:val="24"/>
        </w:rPr>
        <w:t xml:space="preserve">Deficiency Log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560"/>
        <w:gridCol w:w="2100"/>
        <w:gridCol w:w="2100"/>
      </w:tblGrid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Deficiency Description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Corrective Action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 Date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</w:t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</w:t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</w:t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before="3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999999" w:sz="1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Inspector/Technician Signature</w:t>
            </w:r>
          </w:p>
        </w:tc>
        <w:tc>
          <w:tcPr>
            <w:tcW w:type="dxa" w:w="4680"/>
            <w:tcBorders>
              <w:top w:val="single" w:color="999999" w:sz="1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999999" w:sz="1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Facility Manager Signature</w:t>
            </w:r>
          </w:p>
        </w:tc>
        <w:tc>
          <w:tcPr>
            <w:tcW w:type="dxa" w:w="4680"/>
            <w:tcBorders>
              <w:top w:val="single" w:color="999999" w:sz="1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100"/>
      </w:pP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2026-02-23T00:10:15.784Z</dcterms:created>
  <dcterms:modified xsi:type="dcterms:W3CDTF">2026-02-23T00:10:15.784Z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