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PSM/RMP Compliance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jqm3znqaxypm36zefirb0">
              <w:r>
                <w:rPr>
                  <w:rStyle w:val="Hyperlink"/>
                  <w:rFonts w:ascii="Arial" w:cs="Arial" w:eastAsia="Arial" w:hAnsi="Arial"/>
                  <w:color w:val="1155CC"/>
                  <w:sz w:val="19"/>
                  <w:szCs w:val="19"/>
                  <w:u w:val="single"/>
                </w:rPr>
                <w:t xml:space="preserve">29 CFR 1910.119 — Process Safety Management of Highly Hazardous Chemicals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ccqcxdnifi7d7g7kugei">
              <w:r>
                <w:rPr>
                  <w:rStyle w:val="Hyperlink"/>
                  <w:rFonts w:ascii="Arial" w:cs="Arial" w:eastAsia="Arial" w:hAnsi="Arial"/>
                  <w:color w:val="1155CC"/>
                  <w:sz w:val="19"/>
                  <w:szCs w:val="19"/>
                  <w:u w:val="single"/>
                </w:rPr>
                <w:t xml:space="preserve">29 CFR 1910.119 Appendix A — List of Highly Hazardous Chemicals (TQs)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r_gvwwgig5n_fjpg8ixcc">
              <w:r>
                <w:rPr>
                  <w:rStyle w:val="Hyperlink"/>
                  <w:rFonts w:ascii="Arial" w:cs="Arial" w:eastAsia="Arial" w:hAnsi="Arial"/>
                  <w:color w:val="1155CC"/>
                  <w:sz w:val="19"/>
                  <w:szCs w:val="19"/>
                  <w:u w:val="single"/>
                </w:rPr>
                <w:t xml:space="preserve">29 CFR 1910.119 Appendix C — Compliance Guidelines (Nonmandatory)</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w016dtvcoq2kklwjmhx0r">
              <w:r>
                <w:rPr>
                  <w:rStyle w:val="Hyperlink"/>
                  <w:rFonts w:ascii="Arial" w:cs="Arial" w:eastAsia="Arial" w:hAnsi="Arial"/>
                  <w:color w:val="1155CC"/>
                  <w:sz w:val="19"/>
                  <w:szCs w:val="19"/>
                  <w:u w:val="single"/>
                </w:rPr>
                <w:t xml:space="preserve">40 CFR Part 68 — Chemical Accident Prevention Provisions (RMP Rule)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dx29wtba-welysfm2bn0l">
              <w:r>
                <w:rPr>
                  <w:rStyle w:val="Hyperlink"/>
                  <w:rFonts w:ascii="Arial" w:cs="Arial" w:eastAsia="Arial" w:hAnsi="Arial"/>
                  <w:color w:val="1155CC"/>
                  <w:sz w:val="19"/>
                  <w:szCs w:val="19"/>
                  <w:u w:val="single"/>
                </w:rPr>
                <w:t xml:space="preserve">OSHA PSM Enforcement Directive CPL 2-2.45A CH-1</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pcbcouxhxxcg8dbmlnunq">
              <w:r>
                <w:rPr>
                  <w:rStyle w:val="Hyperlink"/>
                  <w:rFonts w:ascii="Arial" w:cs="Arial" w:eastAsia="Arial" w:hAnsi="Arial"/>
                  <w:color w:val="1155CC"/>
                  <w:sz w:val="19"/>
                  <w:szCs w:val="19"/>
                  <w:u w:val="single"/>
                </w:rPr>
                <w:t xml:space="preserve">OSHA Publication 3132 — Process Safety Management Guide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s51gojxz8vfyw_jnned4l">
              <w:r>
                <w:rPr>
                  <w:rStyle w:val="Hyperlink"/>
                  <w:rFonts w:ascii="Arial" w:cs="Arial" w:eastAsia="Arial" w:hAnsi="Arial"/>
                  <w:color w:val="1155CC"/>
                  <w:sz w:val="19"/>
                  <w:szCs w:val="19"/>
                  <w:u w:val="single"/>
                </w:rPr>
                <w:t xml:space="preserve">EPA RMP*eSubmit — Risk Management Plan Submission Portal</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Employee Participation and Process Safety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participation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plan exists for employee participation in PSM program development and conduct. Employees have access to PHAs, incident investigations, and other PSM elements. Consultation with employees on PSM program development is documented.</w:t>
            </w:r>
          </w:p>
          <w:p>
            <w:pPr>
              <w:spacing w:after="0" w:before="60"/>
            </w:pPr>
            <w:r>
              <w:rPr>
                <w:rFonts w:ascii="Arial" w:cs="Arial" w:eastAsia="Arial" w:hAnsi="Arial"/>
                <w:i/>
                <w:iCs/>
                <w:color w:val="888888"/>
                <w:sz w:val="16"/>
                <w:szCs w:val="16"/>
              </w:rPr>
              <w:t xml:space="preserve">» Ref: </w:t>
            </w:r>
            <w:hyperlink w:history="1" r:id="rIdeq4kmyhd7tlitln7bkbfa">
              <w:r>
                <w:rPr>
                  <w:rFonts w:ascii="Arial" w:cs="Arial" w:eastAsia="Arial" w:hAnsi="Arial"/>
                  <w:i/>
                  <w:iCs/>
                  <w:color w:val="1155CC"/>
                  <w:sz w:val="16"/>
                  <w:szCs w:val="16"/>
                  <w:u w:val="single"/>
                </w:rPr>
                <w:t xml:space="preserve">29 CFR 1910.119(c)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Chemical hazard information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Process safety information includes MSDS/SDS for all highly hazardous chemicals in the process. Information covers toxicity, permissible exposure limits, physical data, reactivity data, corrosivity data, and thermal/chemical stability data.</w:t>
            </w:r>
          </w:p>
          <w:p>
            <w:pPr>
              <w:spacing w:after="0" w:before="60"/>
            </w:pPr>
            <w:r>
              <w:rPr>
                <w:rFonts w:ascii="Arial" w:cs="Arial" w:eastAsia="Arial" w:hAnsi="Arial"/>
                <w:i/>
                <w:iCs/>
                <w:color w:val="888888"/>
                <w:sz w:val="16"/>
                <w:szCs w:val="16"/>
              </w:rPr>
              <w:t xml:space="preserve">» Ref: </w:t>
            </w:r>
            <w:hyperlink w:history="1" r:id="rIdftm3hkrvi5qvr1qirgrgs">
              <w:r>
                <w:rPr>
                  <w:rFonts w:ascii="Arial" w:cs="Arial" w:eastAsia="Arial" w:hAnsi="Arial"/>
                  <w:i/>
                  <w:iCs/>
                  <w:color w:val="1155CC"/>
                  <w:sz w:val="16"/>
                  <w:szCs w:val="16"/>
                  <w:u w:val="single"/>
                </w:rPr>
                <w:t xml:space="preserve">29 CFR 1910.119(d)(1)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Process technology information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Documentation includes block flow or process flow diagrams, process chemistry, maximum intended inventory, safe upper and lower operating limits, and consequences of deviations. Material and energy balances are available for processes designed after May 26, 1992.</w:t>
            </w:r>
          </w:p>
          <w:p>
            <w:pPr>
              <w:spacing w:after="0" w:before="60"/>
            </w:pPr>
            <w:r>
              <w:rPr>
                <w:rFonts w:ascii="Arial" w:cs="Arial" w:eastAsia="Arial" w:hAnsi="Arial"/>
                <w:i/>
                <w:iCs/>
                <w:color w:val="888888"/>
                <w:sz w:val="16"/>
                <w:szCs w:val="16"/>
              </w:rPr>
              <w:t xml:space="preserve">» Ref: </w:t>
            </w:r>
            <w:hyperlink w:history="1" r:id="rIdv5nfp5dc5p3u45l7yz54z">
              <w:r>
                <w:rPr>
                  <w:rFonts w:ascii="Arial" w:cs="Arial" w:eastAsia="Arial" w:hAnsi="Arial"/>
                  <w:i/>
                  <w:iCs/>
                  <w:color w:val="1155CC"/>
                  <w:sz w:val="16"/>
                  <w:szCs w:val="16"/>
                  <w:u w:val="single"/>
                </w:rPr>
                <w:t xml:space="preserve">29 CFR 1910.119(d)(2)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Equipment information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Documentation includes materials of construction, P&amp;IDs, electrical classification, relief system design and basis, ventilation system design, design codes and standards, and safety systems (interlocks, detection, suppression). Equipment complies with RAGAGEP.</w:t>
            </w:r>
          </w:p>
          <w:p>
            <w:pPr>
              <w:spacing w:after="0" w:before="60"/>
            </w:pPr>
            <w:r>
              <w:rPr>
                <w:rFonts w:ascii="Arial" w:cs="Arial" w:eastAsia="Arial" w:hAnsi="Arial"/>
                <w:i/>
                <w:iCs/>
                <w:color w:val="888888"/>
                <w:sz w:val="16"/>
                <w:szCs w:val="16"/>
              </w:rPr>
              <w:t xml:space="preserve">» Ref: </w:t>
            </w:r>
            <w:hyperlink w:history="1" r:id="rIdngu7fb04nqtw18oyaqxgt">
              <w:r>
                <w:rPr>
                  <w:rFonts w:ascii="Arial" w:cs="Arial" w:eastAsia="Arial" w:hAnsi="Arial"/>
                  <w:i/>
                  <w:iCs/>
                  <w:color w:val="1155CC"/>
                  <w:sz w:val="16"/>
                  <w:szCs w:val="16"/>
                  <w:u w:val="single"/>
                </w:rPr>
                <w:t xml:space="preserve">29 CFR 1910.119(d)(3)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Process Hazard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PHA completion and currency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Initial PHA has been completed for each covered process. PHAs are updated and revalidated at least every five years. Current revalidation is within the five-year cycle. All covered processes have a current PHA.</w:t>
            </w:r>
          </w:p>
          <w:p>
            <w:pPr>
              <w:spacing w:after="0" w:before="60"/>
            </w:pPr>
            <w:r>
              <w:rPr>
                <w:rFonts w:ascii="Arial" w:cs="Arial" w:eastAsia="Arial" w:hAnsi="Arial"/>
                <w:i/>
                <w:iCs/>
                <w:color w:val="888888"/>
                <w:sz w:val="16"/>
                <w:szCs w:val="16"/>
              </w:rPr>
              <w:t xml:space="preserve">» Ref: </w:t>
            </w:r>
            <w:hyperlink w:history="1" r:id="rIdbzwlllsjohaagawkmca_r">
              <w:r>
                <w:rPr>
                  <w:rFonts w:ascii="Arial" w:cs="Arial" w:eastAsia="Arial" w:hAnsi="Arial"/>
                  <w:i/>
                  <w:iCs/>
                  <w:color w:val="1155CC"/>
                  <w:sz w:val="16"/>
                  <w:szCs w:val="16"/>
                  <w:u w:val="single"/>
                </w:rPr>
                <w:t xml:space="preserve">29 CFR 1910.119(e)(1), (6)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PHA methodology and team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Appropriate PHA methodology is used (What-If, Checklist, What-If/Checklist, HAZOP, FMEA, Fault Tree, or equivalent). Team includes at least one member with process-specific expertise, one with PHA methodology expertise, and one employee with process operating experience.</w:t>
            </w:r>
          </w:p>
          <w:p>
            <w:pPr>
              <w:spacing w:after="0" w:before="60"/>
            </w:pPr>
            <w:r>
              <w:rPr>
                <w:rFonts w:ascii="Arial" w:cs="Arial" w:eastAsia="Arial" w:hAnsi="Arial"/>
                <w:i/>
                <w:iCs/>
                <w:color w:val="888888"/>
                <w:sz w:val="16"/>
                <w:szCs w:val="16"/>
              </w:rPr>
              <w:t xml:space="preserve">» Ref: </w:t>
            </w:r>
            <w:hyperlink w:history="1" r:id="rIdsnqvq7nfh2gjorgpmdiyj">
              <w:r>
                <w:rPr>
                  <w:rFonts w:ascii="Arial" w:cs="Arial" w:eastAsia="Arial" w:hAnsi="Arial"/>
                  <w:i/>
                  <w:iCs/>
                  <w:color w:val="1155CC"/>
                  <w:sz w:val="16"/>
                  <w:szCs w:val="16"/>
                  <w:u w:val="single"/>
                </w:rPr>
                <w:t xml:space="preserve">29 CFR 1910.119(e)(2), (4)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PHA scope and content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PHA addresses: hazards of the process, previous incidents with catastrophic potential, engineering and administrative controls, consequences of control failures, facility siting, human factors, and a qualitative evaluation of safeguards. Findings are documented.</w:t>
            </w:r>
          </w:p>
          <w:p>
            <w:pPr>
              <w:spacing w:after="0" w:before="60"/>
            </w:pPr>
            <w:r>
              <w:rPr>
                <w:rFonts w:ascii="Arial" w:cs="Arial" w:eastAsia="Arial" w:hAnsi="Arial"/>
                <w:i/>
                <w:iCs/>
                <w:color w:val="888888"/>
                <w:sz w:val="16"/>
                <w:szCs w:val="16"/>
              </w:rPr>
              <w:t xml:space="preserve">» Ref: </w:t>
            </w:r>
            <w:hyperlink w:history="1" r:id="rIdyu7lmmtfjcbekrck_w2uj">
              <w:r>
                <w:rPr>
                  <w:rFonts w:ascii="Arial" w:cs="Arial" w:eastAsia="Arial" w:hAnsi="Arial"/>
                  <w:i/>
                  <w:iCs/>
                  <w:color w:val="1155CC"/>
                  <w:sz w:val="16"/>
                  <w:szCs w:val="16"/>
                  <w:u w:val="single"/>
                </w:rPr>
                <w:t xml:space="preserve">29 CFR 1910.119(e)(3)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PHA recommendation resolution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PHA recommendations are resolved and documented with a timetable. Resolutions are communicated to affected personnel. Unresolved recommendations are tracked and justified. Management response to each recommendation is documented.</w:t>
            </w:r>
          </w:p>
          <w:p>
            <w:pPr>
              <w:spacing w:after="0" w:before="60"/>
            </w:pPr>
            <w:r>
              <w:rPr>
                <w:rFonts w:ascii="Arial" w:cs="Arial" w:eastAsia="Arial" w:hAnsi="Arial"/>
                <w:i/>
                <w:iCs/>
                <w:color w:val="888888"/>
                <w:sz w:val="16"/>
                <w:szCs w:val="16"/>
              </w:rPr>
              <w:t xml:space="preserve">» Ref: </w:t>
            </w:r>
            <w:hyperlink w:history="1" r:id="rIdhemvs1kvqoupq7gpaom-a">
              <w:r>
                <w:rPr>
                  <w:rFonts w:ascii="Arial" w:cs="Arial" w:eastAsia="Arial" w:hAnsi="Arial"/>
                  <w:i/>
                  <w:iCs/>
                  <w:color w:val="1155CC"/>
                  <w:sz w:val="16"/>
                  <w:szCs w:val="16"/>
                  <w:u w:val="single"/>
                </w:rPr>
                <w:t xml:space="preserve">29 CFR 1910.119(e)(5)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Operating Procedures, Training, and Contractors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Operating procedure adequacy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operating procedures exist for each covered process covering: normal operations (startup, shutdown, steady state), emergency operations, and temporary operations. Procedures address operating limits, consequences of deviation, steps to avoid exceeding limits, and safety and health considerations.</w:t>
            </w:r>
          </w:p>
          <w:p>
            <w:pPr>
              <w:spacing w:after="0" w:before="60"/>
            </w:pPr>
            <w:r>
              <w:rPr>
                <w:rFonts w:ascii="Arial" w:cs="Arial" w:eastAsia="Arial" w:hAnsi="Arial"/>
                <w:i/>
                <w:iCs/>
                <w:color w:val="888888"/>
                <w:sz w:val="16"/>
                <w:szCs w:val="16"/>
              </w:rPr>
              <w:t xml:space="preserve">» Ref: </w:t>
            </w:r>
            <w:hyperlink w:history="1" r:id="rId3t0jsklte3uexbkvqjmkz">
              <w:r>
                <w:rPr>
                  <w:rFonts w:ascii="Arial" w:cs="Arial" w:eastAsia="Arial" w:hAnsi="Arial"/>
                  <w:i/>
                  <w:iCs/>
                  <w:color w:val="1155CC"/>
                  <w:sz w:val="16"/>
                  <w:szCs w:val="16"/>
                  <w:u w:val="single"/>
                </w:rPr>
                <w:t xml:space="preserve">29 CFR 1910.119(f)(1)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Operating procedure certification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Operating procedures are reviewed as often as necessary to ensure they reflect current operations. Procedures are certified as current and accurate annually. Certification is documented with date and certifier.</w:t>
            </w:r>
          </w:p>
          <w:p>
            <w:pPr>
              <w:spacing w:after="0" w:before="60"/>
            </w:pPr>
            <w:r>
              <w:rPr>
                <w:rFonts w:ascii="Arial" w:cs="Arial" w:eastAsia="Arial" w:hAnsi="Arial"/>
                <w:i/>
                <w:iCs/>
                <w:color w:val="888888"/>
                <w:sz w:val="16"/>
                <w:szCs w:val="16"/>
              </w:rPr>
              <w:t xml:space="preserve">» Ref: </w:t>
            </w:r>
            <w:hyperlink w:history="1" r:id="rIdch1ceb6gsfhoychlbzzpv">
              <w:r>
                <w:rPr>
                  <w:rFonts w:ascii="Arial" w:cs="Arial" w:eastAsia="Arial" w:hAnsi="Arial"/>
                  <w:i/>
                  <w:iCs/>
                  <w:color w:val="1155CC"/>
                  <w:sz w:val="16"/>
                  <w:szCs w:val="16"/>
                  <w:u w:val="single"/>
                </w:rPr>
                <w:t xml:space="preserve">29 CFR 1910.119(f)(3)-(4)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Initial training includes an overview of the process and operating procedures with emphasis on specific hazards, emergency operations, and safe work practices. Refresher training is conducted at least every three years. Training documentation includes identity of employee, date, and means of verification.</w:t>
            </w:r>
          </w:p>
          <w:p>
            <w:pPr>
              <w:spacing w:after="0" w:before="60"/>
            </w:pPr>
            <w:r>
              <w:rPr>
                <w:rFonts w:ascii="Arial" w:cs="Arial" w:eastAsia="Arial" w:hAnsi="Arial"/>
                <w:i/>
                <w:iCs/>
                <w:color w:val="888888"/>
                <w:sz w:val="16"/>
                <w:szCs w:val="16"/>
              </w:rPr>
              <w:t xml:space="preserve">» Ref: </w:t>
            </w:r>
            <w:hyperlink w:history="1" r:id="rIdhghpfvrxqerig6vrijkn_">
              <w:r>
                <w:rPr>
                  <w:rFonts w:ascii="Arial" w:cs="Arial" w:eastAsia="Arial" w:hAnsi="Arial"/>
                  <w:i/>
                  <w:iCs/>
                  <w:color w:val="1155CC"/>
                  <w:sz w:val="16"/>
                  <w:szCs w:val="16"/>
                  <w:u w:val="single"/>
                </w:rPr>
                <w:t xml:space="preserve">29 CFR 1910.119(g)(1)-(3)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Contractor management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Host employer evaluates contractor safety performance and programs. Contractors are informed of known hazards, emergency action plan, and applicable safe work practices. Contractor injury/illness log is maintained for the process area. Contractor performance is periodically evaluated.</w:t>
            </w:r>
          </w:p>
          <w:p>
            <w:pPr>
              <w:spacing w:after="0" w:before="60"/>
            </w:pPr>
            <w:r>
              <w:rPr>
                <w:rFonts w:ascii="Arial" w:cs="Arial" w:eastAsia="Arial" w:hAnsi="Arial"/>
                <w:i/>
                <w:iCs/>
                <w:color w:val="888888"/>
                <w:sz w:val="16"/>
                <w:szCs w:val="16"/>
              </w:rPr>
              <w:t xml:space="preserve">» Ref: </w:t>
            </w:r>
            <w:hyperlink w:history="1" r:id="rIdjufzb31lz0e_e6ygigv23">
              <w:r>
                <w:rPr>
                  <w:rFonts w:ascii="Arial" w:cs="Arial" w:eastAsia="Arial" w:hAnsi="Arial"/>
                  <w:i/>
                  <w:iCs/>
                  <w:color w:val="1155CC"/>
                  <w:sz w:val="16"/>
                  <w:szCs w:val="16"/>
                  <w:u w:val="single"/>
                </w:rPr>
                <w:t xml:space="preserve">29 CFR 1910.119(h)(1)-(3)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Pre-Startup, Mechanical Integrity, and Hot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Pre-startup safety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PSSR is conducted for new and modified facilities before startup. Review confirms: construction per design specs, safety/operating/maintenance/emergency procedures in place, PHA recommendations resolved, modified MOC requirements met, and training completed.</w:t>
            </w:r>
          </w:p>
          <w:p>
            <w:pPr>
              <w:spacing w:after="0" w:before="60"/>
            </w:pPr>
            <w:r>
              <w:rPr>
                <w:rFonts w:ascii="Arial" w:cs="Arial" w:eastAsia="Arial" w:hAnsi="Arial"/>
                <w:i/>
                <w:iCs/>
                <w:color w:val="888888"/>
                <w:sz w:val="16"/>
                <w:szCs w:val="16"/>
              </w:rPr>
              <w:t xml:space="preserve">» Ref: </w:t>
            </w:r>
            <w:hyperlink w:history="1" r:id="rIdrhuq-7dnlkyxcggndtg1m">
              <w:r>
                <w:rPr>
                  <w:rFonts w:ascii="Arial" w:cs="Arial" w:eastAsia="Arial" w:hAnsi="Arial"/>
                  <w:i/>
                  <w:iCs/>
                  <w:color w:val="1155CC"/>
                  <w:sz w:val="16"/>
                  <w:szCs w:val="16"/>
                  <w:u w:val="single"/>
                </w:rPr>
                <w:t xml:space="preserve">29 CFR 1910.119(i)(1)-(3)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Mechanical integrity program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procedures exist for maintaining the ongoing integrity of process equipment: pressure vessels, storage tanks, piping systems, relief and vent systems, emergency shutdown systems, controls and pumps. Inspection and testing frequencies follow RAGAGEP (API, ASME, NBIC codes).</w:t>
            </w:r>
          </w:p>
          <w:p>
            <w:pPr>
              <w:spacing w:after="0" w:before="60"/>
            </w:pPr>
            <w:r>
              <w:rPr>
                <w:rFonts w:ascii="Arial" w:cs="Arial" w:eastAsia="Arial" w:hAnsi="Arial"/>
                <w:i/>
                <w:iCs/>
                <w:color w:val="888888"/>
                <w:sz w:val="16"/>
                <w:szCs w:val="16"/>
              </w:rPr>
              <w:t xml:space="preserve">» Ref: </w:t>
            </w:r>
            <w:hyperlink w:history="1" r:id="rId81nfbgrkdzul0mmpktrdx">
              <w:r>
                <w:rPr>
                  <w:rFonts w:ascii="Arial" w:cs="Arial" w:eastAsia="Arial" w:hAnsi="Arial"/>
                  <w:i/>
                  <w:iCs/>
                  <w:color w:val="1155CC"/>
                  <w:sz w:val="16"/>
                  <w:szCs w:val="16"/>
                  <w:u w:val="single"/>
                </w:rPr>
                <w:t xml:space="preserve">29 CFR 1910.119(j)(1)-(2)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Inspection and testing execution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Inspections and tests are performed at documented intervals by qualified personnel. Results are documented and deficiencies are corrected before further use or in a safe and timely manner. Equipment deficiency log is maintained and tracked to resolution.</w:t>
            </w:r>
          </w:p>
          <w:p>
            <w:pPr>
              <w:spacing w:after="0" w:before="60"/>
            </w:pPr>
            <w:r>
              <w:rPr>
                <w:rFonts w:ascii="Arial" w:cs="Arial" w:eastAsia="Arial" w:hAnsi="Arial"/>
                <w:i/>
                <w:iCs/>
                <w:color w:val="888888"/>
                <w:sz w:val="16"/>
                <w:szCs w:val="16"/>
              </w:rPr>
              <w:t xml:space="preserve">» Ref: </w:t>
            </w:r>
            <w:hyperlink w:history="1" r:id="rIdgucbkl2r8swrgmll2vavz">
              <w:r>
                <w:rPr>
                  <w:rFonts w:ascii="Arial" w:cs="Arial" w:eastAsia="Arial" w:hAnsi="Arial"/>
                  <w:i/>
                  <w:iCs/>
                  <w:color w:val="1155CC"/>
                  <w:sz w:val="16"/>
                  <w:szCs w:val="16"/>
                  <w:u w:val="single"/>
                </w:rPr>
                <w:t xml:space="preserve">29 CFR 1910.119(j)(4)-(5)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Hot work permit program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Hot work permits are issued for all hot work operations on or near covered processes. Permits document that fire prevention and protection requirements (29 CFR 1910.252(a)) are implemented. Permits indicate authorized date(s) and identify the work object. Permits are retained until completion.</w:t>
            </w:r>
          </w:p>
          <w:p>
            <w:pPr>
              <w:spacing w:after="0" w:before="60"/>
            </w:pPr>
            <w:r>
              <w:rPr>
                <w:rFonts w:ascii="Arial" w:cs="Arial" w:eastAsia="Arial" w:hAnsi="Arial"/>
                <w:i/>
                <w:iCs/>
                <w:color w:val="888888"/>
                <w:sz w:val="16"/>
                <w:szCs w:val="16"/>
              </w:rPr>
              <w:t xml:space="preserve">» Ref: </w:t>
            </w:r>
            <w:hyperlink w:history="1" r:id="rIdcllxhzxne1xm5kkj4zpjp">
              <w:r>
                <w:rPr>
                  <w:rFonts w:ascii="Arial" w:cs="Arial" w:eastAsia="Arial" w:hAnsi="Arial"/>
                  <w:i/>
                  <w:iCs/>
                  <w:color w:val="1155CC"/>
                  <w:sz w:val="16"/>
                  <w:szCs w:val="16"/>
                  <w:u w:val="single"/>
                </w:rPr>
                <w:t xml:space="preserve">29 CFR 1910.119(k)</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Management of Change and Incident Investigation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MOC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MOC procedures address changes to process chemicals, technology, equipment, procedures, and facilities affecting covered processes. Procedures cover: technical basis for change, impact on safety and health, modifications to operating procedures, necessary timeframe, and authorization requirements.</w:t>
            </w:r>
          </w:p>
          <w:p>
            <w:pPr>
              <w:spacing w:after="0" w:before="60"/>
            </w:pPr>
            <w:r>
              <w:rPr>
                <w:rFonts w:ascii="Arial" w:cs="Arial" w:eastAsia="Arial" w:hAnsi="Arial"/>
                <w:i/>
                <w:iCs/>
                <w:color w:val="888888"/>
                <w:sz w:val="16"/>
                <w:szCs w:val="16"/>
              </w:rPr>
              <w:t xml:space="preserve">» Ref: </w:t>
            </w:r>
            <w:hyperlink w:history="1" r:id="rIdjjf1ofja7x1iy1laramyo">
              <w:r>
                <w:rPr>
                  <w:rFonts w:ascii="Arial" w:cs="Arial" w:eastAsia="Arial" w:hAnsi="Arial"/>
                  <w:i/>
                  <w:iCs/>
                  <w:color w:val="1155CC"/>
                  <w:sz w:val="16"/>
                  <w:szCs w:val="16"/>
                  <w:u w:val="single"/>
                </w:rPr>
                <w:t xml:space="preserve">29 CFR 1910.119(l)(1)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MOC implementation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MOC reviews are completed and documented before implementing changes (except replacements in kind). Affected employees are informed of and trained on changes before startup. Process safety information and operating procedures are updated. P&amp;IDs reflect all changes.</w:t>
            </w:r>
          </w:p>
          <w:p>
            <w:pPr>
              <w:spacing w:after="0" w:before="60"/>
            </w:pPr>
            <w:r>
              <w:rPr>
                <w:rFonts w:ascii="Arial" w:cs="Arial" w:eastAsia="Arial" w:hAnsi="Arial"/>
                <w:i/>
                <w:iCs/>
                <w:color w:val="888888"/>
                <w:sz w:val="16"/>
                <w:szCs w:val="16"/>
              </w:rPr>
              <w:t xml:space="preserve">» Ref: </w:t>
            </w:r>
            <w:hyperlink w:history="1" r:id="rIdujvajcbekny_yuajfoesd">
              <w:r>
                <w:rPr>
                  <w:rFonts w:ascii="Arial" w:cs="Arial" w:eastAsia="Arial" w:hAnsi="Arial"/>
                  <w:i/>
                  <w:iCs/>
                  <w:color w:val="1155CC"/>
                  <w:sz w:val="16"/>
                  <w:szCs w:val="16"/>
                  <w:u w:val="single"/>
                </w:rPr>
                <w:t xml:space="preserve">29 CFR 1910.119(l)(2)-(5)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Incident investigation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Incidents resulting in or that could reasonably have resulted in a catastrophic release are investigated within 48 hours. Investigation team includes at least one person knowledgeable in the process and other persons with appropriate expertise. Findings are documented.</w:t>
            </w:r>
          </w:p>
          <w:p>
            <w:pPr>
              <w:spacing w:after="0" w:before="60"/>
            </w:pPr>
            <w:r>
              <w:rPr>
                <w:rFonts w:ascii="Arial" w:cs="Arial" w:eastAsia="Arial" w:hAnsi="Arial"/>
                <w:i/>
                <w:iCs/>
                <w:color w:val="888888"/>
                <w:sz w:val="16"/>
                <w:szCs w:val="16"/>
              </w:rPr>
              <w:t xml:space="preserve">» Ref: </w:t>
            </w:r>
            <w:hyperlink w:history="1" r:id="rIdwshafhhiad-ou--qv8mfb">
              <w:r>
                <w:rPr>
                  <w:rFonts w:ascii="Arial" w:cs="Arial" w:eastAsia="Arial" w:hAnsi="Arial"/>
                  <w:i/>
                  <w:iCs/>
                  <w:color w:val="1155CC"/>
                  <w:sz w:val="16"/>
                  <w:szCs w:val="16"/>
                  <w:u w:val="single"/>
                </w:rPr>
                <w:t xml:space="preserve">29 CFR 1910.119(m)(1)-(4)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Investigation follow-up</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Investigation report addresses factors contributing to the incident and recommendations. Recommendations are resolved and documented. Reports are reviewed with affected personnel. Reports are retained for five years.</w:t>
            </w:r>
          </w:p>
          <w:p>
            <w:pPr>
              <w:spacing w:after="0" w:before="60"/>
            </w:pPr>
            <w:r>
              <w:rPr>
                <w:rFonts w:ascii="Arial" w:cs="Arial" w:eastAsia="Arial" w:hAnsi="Arial"/>
                <w:i/>
                <w:iCs/>
                <w:color w:val="888888"/>
                <w:sz w:val="16"/>
                <w:szCs w:val="16"/>
              </w:rPr>
              <w:t xml:space="preserve">» Ref: </w:t>
            </w:r>
            <w:hyperlink w:history="1" r:id="rIdq6vw2y8ozlrskofdkyhy1">
              <w:r>
                <w:rPr>
                  <w:rFonts w:ascii="Arial" w:cs="Arial" w:eastAsia="Arial" w:hAnsi="Arial"/>
                  <w:i/>
                  <w:iCs/>
                  <w:color w:val="1155CC"/>
                  <w:sz w:val="16"/>
                  <w:szCs w:val="16"/>
                  <w:u w:val="single"/>
                </w:rPr>
                <w:t xml:space="preserve">29 CFR 1910.119(m)(5)-(7)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Emergency Planning and RMP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Emergency action plan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Written EAP per 29 CFR 1910.38 is established for the entire plant. Plan includes procedures for handling small releases of HHCs in addition to standard EAP elements. EAP is coordinated with local emergency response agencies.</w:t>
            </w:r>
          </w:p>
          <w:p>
            <w:pPr>
              <w:spacing w:after="0" w:before="60"/>
            </w:pPr>
            <w:r>
              <w:rPr>
                <w:rFonts w:ascii="Arial" w:cs="Arial" w:eastAsia="Arial" w:hAnsi="Arial"/>
                <w:i/>
                <w:iCs/>
                <w:color w:val="888888"/>
                <w:sz w:val="16"/>
                <w:szCs w:val="16"/>
              </w:rPr>
              <w:t xml:space="preserve">» Ref: </w:t>
            </w:r>
            <w:hyperlink w:history="1" r:id="rIdca_mwwutrxlnepvanparo">
              <w:r>
                <w:rPr>
                  <w:rFonts w:ascii="Arial" w:cs="Arial" w:eastAsia="Arial" w:hAnsi="Arial"/>
                  <w:i/>
                  <w:iCs/>
                  <w:color w:val="1155CC"/>
                  <w:sz w:val="16"/>
                  <w:szCs w:val="16"/>
                  <w:u w:val="single"/>
                </w:rPr>
                <w:t xml:space="preserve">29 CFR 1910.119(n)</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RMP hazard assessment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Worst-case release scenario and alternative release scenario analyses are documented. Offsite consequence analysis uses EPA-approved methodology (RMP*Comp or equivalent). Five-year accident history is compiled and included in the RMP submission.</w:t>
            </w:r>
          </w:p>
          <w:p>
            <w:pPr>
              <w:spacing w:after="0" w:before="60"/>
            </w:pPr>
            <w:r>
              <w:rPr>
                <w:rFonts w:ascii="Arial" w:cs="Arial" w:eastAsia="Arial" w:hAnsi="Arial"/>
                <w:i/>
                <w:iCs/>
                <w:color w:val="888888"/>
                <w:sz w:val="16"/>
                <w:szCs w:val="16"/>
              </w:rPr>
              <w:t xml:space="preserve">» Ref: </w:t>
            </w:r>
            <w:hyperlink w:history="1" r:id="rIdko8a0zgvbm-mudtf1aahc">
              <w:r>
                <w:rPr>
                  <w:rFonts w:ascii="Arial" w:cs="Arial" w:eastAsia="Arial" w:hAnsi="Arial"/>
                  <w:i/>
                  <w:iCs/>
                  <w:color w:val="1155CC"/>
                  <w:sz w:val="16"/>
                  <w:szCs w:val="16"/>
                  <w:u w:val="single"/>
                </w:rPr>
                <w:t xml:space="preserve">40 CFR 68.20-68.42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RMP submission and updates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RMP is submitted to EPA and is current. Plan is updated within five years of initial submission, within three years of a change triggering applicability, or when changes at the facility alter the information in the RMP. Amendments are filed through EPA’s CDX/RMP*eSubmit system.</w:t>
            </w:r>
          </w:p>
          <w:p>
            <w:pPr>
              <w:spacing w:after="0" w:before="60"/>
            </w:pPr>
            <w:r>
              <w:rPr>
                <w:rFonts w:ascii="Arial" w:cs="Arial" w:eastAsia="Arial" w:hAnsi="Arial"/>
                <w:i/>
                <w:iCs/>
                <w:color w:val="888888"/>
                <w:sz w:val="16"/>
                <w:szCs w:val="16"/>
              </w:rPr>
              <w:t xml:space="preserve">» Ref: </w:t>
            </w:r>
            <w:hyperlink w:history="1" r:id="rIdysnqz1ozpw1yyyfujdvtg">
              <w:r>
                <w:rPr>
                  <w:rFonts w:ascii="Arial" w:cs="Arial" w:eastAsia="Arial" w:hAnsi="Arial"/>
                  <w:i/>
                  <w:iCs/>
                  <w:color w:val="1155CC"/>
                  <w:sz w:val="16"/>
                  <w:szCs w:val="16"/>
                  <w:u w:val="single"/>
                </w:rPr>
                <w:t xml:space="preserve">40 CFR 68.150-68.190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RMP prevention program</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Program 3 facilities implement prevention program elements equivalent to OSHA PSM (all 14 elements). Program 2 facilities implement a prevention program with hazard review, operating procedures, training, maintenance, compliance audits, and incident investigation at minimum.</w:t>
            </w:r>
          </w:p>
          <w:p>
            <w:pPr>
              <w:spacing w:after="0" w:before="60"/>
            </w:pPr>
            <w:r>
              <w:rPr>
                <w:rFonts w:ascii="Arial" w:cs="Arial" w:eastAsia="Arial" w:hAnsi="Arial"/>
                <w:i/>
                <w:iCs/>
                <w:color w:val="888888"/>
                <w:sz w:val="16"/>
                <w:szCs w:val="16"/>
              </w:rPr>
              <w:t xml:space="preserve">» Ref: </w:t>
            </w:r>
            <w:hyperlink w:history="1" r:id="rIdgiwd1nmj3xgufmce0y81b">
              <w:r>
                <w:rPr>
                  <w:rFonts w:ascii="Arial" w:cs="Arial" w:eastAsia="Arial" w:hAnsi="Arial"/>
                  <w:i/>
                  <w:iCs/>
                  <w:color w:val="1155CC"/>
                  <w:sz w:val="16"/>
                  <w:szCs w:val="16"/>
                  <w:u w:val="single"/>
                </w:rPr>
                <w:t xml:space="preserve">40 CFR 68.65-68.87 (Program 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Compliance Audit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Audit frequency and coverage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Compliance audit has been conducted within the last three years. Audit covers all 14 elements of 29 CFR 1910.119 for each covered process. Audit scope, schedule, and team composition are documented in the audit plan.</w:t>
            </w:r>
          </w:p>
          <w:p>
            <w:pPr>
              <w:spacing w:after="0" w:before="60"/>
            </w:pPr>
            <w:r>
              <w:rPr>
                <w:rFonts w:ascii="Arial" w:cs="Arial" w:eastAsia="Arial" w:hAnsi="Arial"/>
                <w:i/>
                <w:iCs/>
                <w:color w:val="888888"/>
                <w:sz w:val="16"/>
                <w:szCs w:val="16"/>
              </w:rPr>
              <w:t xml:space="preserve">» Ref: </w:t>
            </w:r>
            <w:hyperlink w:history="1" r:id="rId4lysjetpo-mykbtdilj8d">
              <w:r>
                <w:rPr>
                  <w:rFonts w:ascii="Arial" w:cs="Arial" w:eastAsia="Arial" w:hAnsi="Arial"/>
                  <w:i/>
                  <w:iCs/>
                  <w:color w:val="1155CC"/>
                  <w:sz w:val="16"/>
                  <w:szCs w:val="16"/>
                  <w:u w:val="single"/>
                </w:rPr>
                <w:t xml:space="preserve">29 CFR 1910.119(o)(1)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Auditor qualifications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At least one audit team member is knowledgeable in the specific process being audited. Team members have appropriate expertise in PSM auditing methodology. Auditors are objective and do not audit their own work areas.</w:t>
            </w:r>
          </w:p>
          <w:p>
            <w:pPr>
              <w:spacing w:after="0" w:before="60"/>
            </w:pPr>
            <w:r>
              <w:rPr>
                <w:rFonts w:ascii="Arial" w:cs="Arial" w:eastAsia="Arial" w:hAnsi="Arial"/>
                <w:i/>
                <w:iCs/>
                <w:color w:val="888888"/>
                <w:sz w:val="16"/>
                <w:szCs w:val="16"/>
              </w:rPr>
              <w:t xml:space="preserve">» Ref: </w:t>
            </w:r>
            <w:hyperlink w:history="1" r:id="rIdu28tlk2fg6whablcffxad">
              <w:r>
                <w:rPr>
                  <w:rFonts w:ascii="Arial" w:cs="Arial" w:eastAsia="Arial" w:hAnsi="Arial"/>
                  <w:i/>
                  <w:iCs/>
                  <w:color w:val="1155CC"/>
                  <w:sz w:val="16"/>
                  <w:szCs w:val="16"/>
                  <w:u w:val="single"/>
                </w:rPr>
                <w:t xml:space="preserve">29 CFR 1910.119(o)(2)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Findings and corrective actions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Audit report documents all findings with specific references to the PSM element and regulatory provision. Employer has promptly determined and documented an appropriate response to each finding. Deficiencies have been corrected on the documented timetable.</w:t>
            </w:r>
          </w:p>
          <w:p>
            <w:pPr>
              <w:spacing w:after="0" w:before="60"/>
            </w:pPr>
            <w:r>
              <w:rPr>
                <w:rFonts w:ascii="Arial" w:cs="Arial" w:eastAsia="Arial" w:hAnsi="Arial"/>
                <w:i/>
                <w:iCs/>
                <w:color w:val="888888"/>
                <w:sz w:val="16"/>
                <w:szCs w:val="16"/>
              </w:rPr>
              <w:t xml:space="preserve">» Ref: </w:t>
            </w:r>
            <w:hyperlink w:history="1" r:id="rId_so81bjemgqgsha0bcf0i">
              <w:r>
                <w:rPr>
                  <w:rFonts w:ascii="Arial" w:cs="Arial" w:eastAsia="Arial" w:hAnsi="Arial"/>
                  <w:i/>
                  <w:iCs/>
                  <w:color w:val="1155CC"/>
                  <w:sz w:val="16"/>
                  <w:szCs w:val="16"/>
                  <w:u w:val="single"/>
                </w:rPr>
                <w:t xml:space="preserve">29 CFR 1910.119(o)(3)-(4)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Audit record retention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two most recent compliance audit reports are retained. Reports document audit team members, scope, methodology, findings, and corrective action responses. Supporting documentation (interview notes, document review records) is organized and retrievable.</w:t>
            </w:r>
          </w:p>
          <w:p>
            <w:pPr>
              <w:spacing w:after="0" w:before="60"/>
            </w:pPr>
            <w:r>
              <w:rPr>
                <w:rFonts w:ascii="Arial" w:cs="Arial" w:eastAsia="Arial" w:hAnsi="Arial"/>
                <w:i/>
                <w:iCs/>
                <w:color w:val="888888"/>
                <w:sz w:val="16"/>
                <w:szCs w:val="16"/>
              </w:rPr>
              <w:t xml:space="preserve">» Ref: </w:t>
            </w:r>
            <w:hyperlink w:history="1" r:id="rIdnxgcjahaho0cleetjwuhq">
              <w:r>
                <w:rPr>
                  <w:rFonts w:ascii="Arial" w:cs="Arial" w:eastAsia="Arial" w:hAnsi="Arial"/>
                  <w:i/>
                  <w:iCs/>
                  <w:color w:val="1155CC"/>
                  <w:sz w:val="16"/>
                  <w:szCs w:val="16"/>
                  <w:u w:val="single"/>
                </w:rPr>
                <w:t xml:space="preserve">29 CFR 1910.119(o)(5)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PSM/RMP Compliance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jqm3znqaxypm36zefirb0" Type="http://schemas.openxmlformats.org/officeDocument/2006/relationships/hyperlink" Target="https://www.ecfr.gov/current/title-29/subtitle-B/chapter-XVII/part-1910/subpart-H/section-1910.119" TargetMode="External"/><Relationship Id="rIdxccqcxdnifi7d7g7kugei" Type="http://schemas.openxmlformats.org/officeDocument/2006/relationships/hyperlink" Target="https://www.osha.gov/laws-regs/regulations/standardnumber/1910/1910.119AppA" TargetMode="External"/><Relationship Id="rIdr_gvwwgig5n_fjpg8ixcc" Type="http://schemas.openxmlformats.org/officeDocument/2006/relationships/hyperlink" Target="https://www.osha.gov/laws-regs/regulations/standardnumber/1910/1910.119AppC" TargetMode="External"/><Relationship Id="rIdw016dtvcoq2kklwjmhx0r" Type="http://schemas.openxmlformats.org/officeDocument/2006/relationships/hyperlink" Target="https://www.ecfr.gov/current/title-40/chapter-I/subchapter-C/part-68" TargetMode="External"/><Relationship Id="rIddx29wtba-welysfm2bn0l" Type="http://schemas.openxmlformats.org/officeDocument/2006/relationships/hyperlink" Target="https://www.osha.gov/enforcement/directives/cpl-2-245a-ch-1" TargetMode="External"/><Relationship Id="rIdpcbcouxhxxcg8dbmlnunq" Type="http://schemas.openxmlformats.org/officeDocument/2006/relationships/hyperlink" Target="https://www.osha.gov/sites/default/files/publications/osha3132.pdf" TargetMode="External"/><Relationship Id="rIds51gojxz8vfyw_jnned4l" Type="http://schemas.openxmlformats.org/officeDocument/2006/relationships/hyperlink" Target="https://cdx.epa.gov/" TargetMode="External"/><Relationship Id="rIdeq4kmyhd7tlitln7bkbfa" Type="http://schemas.openxmlformats.org/officeDocument/2006/relationships/hyperlink" Target="https://www.ecfr.gov/current/title-29/subtitle-B/chapter-XVII/part-1910/subpart-H/section-1910.119#p-1910.119(c)" TargetMode="External"/><Relationship Id="rIdftm3hkrvi5qvr1qirgrgs" Type="http://schemas.openxmlformats.org/officeDocument/2006/relationships/hyperlink" Target="https://www.ecfr.gov/current/title-29/subtitle-B/chapter-XVII/part-1910/subpart-H/section-1910.119#p-1910.119(d)" TargetMode="External"/><Relationship Id="rIdv5nfp5dc5p3u45l7yz54z" Type="http://schemas.openxmlformats.org/officeDocument/2006/relationships/hyperlink" Target="https://www.ecfr.gov/current/title-29/subtitle-B/chapter-XVII/part-1910/subpart-H/section-1910.119#p-1910.119(d)" TargetMode="External"/><Relationship Id="rIdngu7fb04nqtw18oyaqxgt" Type="http://schemas.openxmlformats.org/officeDocument/2006/relationships/hyperlink" Target="https://www.ecfr.gov/current/title-29/subtitle-B/chapter-XVII/part-1910/subpart-H/section-1910.119#p-1910.119(d)" TargetMode="External"/><Relationship Id="rIdbzwlllsjohaagawkmca_r" Type="http://schemas.openxmlformats.org/officeDocument/2006/relationships/hyperlink" Target="https://www.ecfr.gov/current/title-29/subtitle-B/chapter-XVII/part-1910/subpart-H/section-1910.119#p-1910.119(e)" TargetMode="External"/><Relationship Id="rIdsnqvq7nfh2gjorgpmdiyj" Type="http://schemas.openxmlformats.org/officeDocument/2006/relationships/hyperlink" Target="https://www.ecfr.gov/current/title-29/subtitle-B/chapter-XVII/part-1910/subpart-H/section-1910.119#p-1910.119(e)" TargetMode="External"/><Relationship Id="rIdyu7lmmtfjcbekrck_w2uj" Type="http://schemas.openxmlformats.org/officeDocument/2006/relationships/hyperlink" Target="https://www.ecfr.gov/current/title-29/subtitle-B/chapter-XVII/part-1910/subpart-H/section-1910.119#p-1910.119(e)" TargetMode="External"/><Relationship Id="rIdhemvs1kvqoupq7gpaom-a" Type="http://schemas.openxmlformats.org/officeDocument/2006/relationships/hyperlink" Target="https://www.ecfr.gov/current/title-29/subtitle-B/chapter-XVII/part-1910/subpart-H/section-1910.119#p-1910.119(e)" TargetMode="External"/><Relationship Id="rId3t0jsklte3uexbkvqjmkz" Type="http://schemas.openxmlformats.org/officeDocument/2006/relationships/hyperlink" Target="https://www.ecfr.gov/current/title-29/subtitle-B/chapter-XVII/part-1910/subpart-H/section-1910.119#p-1910.119(f)" TargetMode="External"/><Relationship Id="rIdch1ceb6gsfhoychlbzzpv" Type="http://schemas.openxmlformats.org/officeDocument/2006/relationships/hyperlink" Target="https://www.ecfr.gov/current/title-29/subtitle-B/chapter-XVII/part-1910/subpart-H/section-1910.119#p-1910.119(f)" TargetMode="External"/><Relationship Id="rIdhghpfvrxqerig6vrijkn_" Type="http://schemas.openxmlformats.org/officeDocument/2006/relationships/hyperlink" Target="https://www.ecfr.gov/current/title-29/subtitle-B/chapter-XVII/part-1910/subpart-H/section-1910.119#p-1910.119(g)" TargetMode="External"/><Relationship Id="rIdjufzb31lz0e_e6ygigv23" Type="http://schemas.openxmlformats.org/officeDocument/2006/relationships/hyperlink" Target="https://www.ecfr.gov/current/title-29/subtitle-B/chapter-XVII/part-1910/subpart-H/section-1910.119#p-1910.119(h)" TargetMode="External"/><Relationship Id="rIdrhuq-7dnlkyxcggndtg1m" Type="http://schemas.openxmlformats.org/officeDocument/2006/relationships/hyperlink" Target="https://www.ecfr.gov/current/title-29/subtitle-B/chapter-XVII/part-1910/subpart-H/section-1910.119#p-1910.119(i)" TargetMode="External"/><Relationship Id="rId81nfbgrkdzul0mmpktrdx" Type="http://schemas.openxmlformats.org/officeDocument/2006/relationships/hyperlink" Target="https://www.ecfr.gov/current/title-29/subtitle-B/chapter-XVII/part-1910/subpart-H/section-1910.119#p-1910.119(j)" TargetMode="External"/><Relationship Id="rIdgucbkl2r8swrgmll2vavz" Type="http://schemas.openxmlformats.org/officeDocument/2006/relationships/hyperlink" Target="https://www.ecfr.gov/current/title-29/subtitle-B/chapter-XVII/part-1910/subpart-H/section-1910.119#p-1910.119(j)" TargetMode="External"/><Relationship Id="rIdcllxhzxne1xm5kkj4zpjp" Type="http://schemas.openxmlformats.org/officeDocument/2006/relationships/hyperlink" Target="https://www.ecfr.gov/current/title-29/subtitle-B/chapter-XVII/part-1910/subpart-H/section-1910.119#p-1910.119(k)" TargetMode="External"/><Relationship Id="rIdjjf1ofja7x1iy1laramyo" Type="http://schemas.openxmlformats.org/officeDocument/2006/relationships/hyperlink" Target="https://www.ecfr.gov/current/title-29/subtitle-B/chapter-XVII/part-1910/subpart-H/section-1910.119#p-1910.119(l)" TargetMode="External"/><Relationship Id="rIdujvajcbekny_yuajfoesd" Type="http://schemas.openxmlformats.org/officeDocument/2006/relationships/hyperlink" Target="https://www.ecfr.gov/current/title-29/subtitle-B/chapter-XVII/part-1910/subpart-H/section-1910.119#p-1910.119(l)" TargetMode="External"/><Relationship Id="rIdwshafhhiad-ou--qv8mfb" Type="http://schemas.openxmlformats.org/officeDocument/2006/relationships/hyperlink" Target="https://www.ecfr.gov/current/title-29/subtitle-B/chapter-XVII/part-1910/subpart-H/section-1910.119#p-1910.119(m)" TargetMode="External"/><Relationship Id="rIdq6vw2y8ozlrskofdkyhy1" Type="http://schemas.openxmlformats.org/officeDocument/2006/relationships/hyperlink" Target="https://www.ecfr.gov/current/title-29/subtitle-B/chapter-XVII/part-1910/subpart-H/section-1910.119#p-1910.119(m)" TargetMode="External"/><Relationship Id="rIdca_mwwutrxlnepvanparo" Type="http://schemas.openxmlformats.org/officeDocument/2006/relationships/hyperlink" Target="https://www.ecfr.gov/current/title-29/subtitle-B/chapter-XVII/part-1910/subpart-H/section-1910.119#p-1910.119(n)" TargetMode="External"/><Relationship Id="rIdko8a0zgvbm-mudtf1aahc" Type="http://schemas.openxmlformats.org/officeDocument/2006/relationships/hyperlink" Target="https://www.ecfr.gov/current/title-40/chapter-I/subchapter-C/part-68/subpart-B" TargetMode="External"/><Relationship Id="rIdysnqz1ozpw1yyyfujdvtg" Type="http://schemas.openxmlformats.org/officeDocument/2006/relationships/hyperlink" Target="https://www.ecfr.gov/current/title-40/chapter-I/subchapter-C/part-68/subpart-G" TargetMode="External"/><Relationship Id="rIdgiwd1nmj3xgufmce0y81b" Type="http://schemas.openxmlformats.org/officeDocument/2006/relationships/hyperlink" Target="https://www.ecfr.gov/current/title-40/chapter-I/subchapter-C/part-68/subpart-D" TargetMode="External"/><Relationship Id="rId4lysjetpo-mykbtdilj8d" Type="http://schemas.openxmlformats.org/officeDocument/2006/relationships/hyperlink" Target="https://www.ecfr.gov/current/title-29/subtitle-B/chapter-XVII/part-1910/subpart-H/section-1910.119#p-1910.119(o)" TargetMode="External"/><Relationship Id="rIdu28tlk2fg6whablcffxad" Type="http://schemas.openxmlformats.org/officeDocument/2006/relationships/hyperlink" Target="https://www.ecfr.gov/current/title-29/subtitle-B/chapter-XVII/part-1910/subpart-H/section-1910.119#p-1910.119(o)" TargetMode="External"/><Relationship Id="rId_so81bjemgqgsha0bcf0i" Type="http://schemas.openxmlformats.org/officeDocument/2006/relationships/hyperlink" Target="https://www.ecfr.gov/current/title-29/subtitle-B/chapter-XVII/part-1910/subpart-H/section-1910.119#p-1910.119(o)" TargetMode="External"/><Relationship Id="rIdnxgcjahaho0cleetjwuhq" Type="http://schemas.openxmlformats.org/officeDocument/2006/relationships/hyperlink" Target="https://www.ecfr.gov/current/title-29/subtitle-B/chapter-XVII/part-1910/subpart-H/section-1910.119#p-1910.119(o)" TargetMode="External"/><Relationship Id="rId4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2026-03-01T16:57:19.068Z</dcterms:created>
  <dcterms:modified xsi:type="dcterms:W3CDTF">2026-03-01T16:57:19.068Z</dcterms:modified>
</cp:coreProperties>
</file>

<file path=docProps/custom.xml><?xml version="1.0" encoding="utf-8"?>
<Properties xmlns="http://schemas.openxmlformats.org/officeDocument/2006/custom-properties" xmlns:vt="http://schemas.openxmlformats.org/officeDocument/2006/docPropsVTypes"/>
</file>