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Pressure Vessel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Visual and Periodic Inspection per ASME BPVC, API 510, and OSHA 1910.169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Vessel ID / Tag Number: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Location: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MAWP / Design Pressure: </w:t>
      </w:r>
      <w:r>
        <w:rPr>
          <w:rFonts w:ascii="Arial" w:cs="Arial" w:eastAsia="Arial" w:hAnsi="Arial"/>
          <w:sz w:val="20"/>
          <w:szCs w:val="20"/>
        </w:rPr>
        <w:t xml:space="preserve">_______ psig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Vessel Contents: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Inspection Type: </w:t>
      </w:r>
      <w:r>
        <w:rPr>
          <w:rFonts w:ascii="Arial" w:cs="Arial" w:eastAsia="Arial" w:hAnsi="Arial"/>
          <w:sz w:val="20"/>
          <w:szCs w:val="20"/>
        </w:rPr>
        <w:t xml:space="preserve">External / Internal / On-Stream / Annual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External Visual Inspection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Shell and heads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from corrosion, pitting, blistering, bulging, cracks. No distortion. Insulation intact. Coating/paint adequate.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Nozzles and connections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connections tight, no leaks. Flanges properly bolted. Welded connections no cracks. Blanked connections secure.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Supports and foundations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Supports intact and structurally sound. Foundation no cracking or settling. Anchor bolts tight. No vessel movement.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Nameplate and markings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ASME nameplate present and legible. MAWP, manufacturer, serial number visible. National Board number present.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Piping and connections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Connected piping properly supported. Expansion joints in good condition. Valves accessible. No vibration-induced fatigue.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Safety Devices &amp; Instrumentation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Pressure relief valves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 and properly sized for MAWP. Set pressure verified. Discharge piping clear. No block valves between vessel and PRV. Seals intact.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Pressure gauges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 and readable. Dial range appropriate. Connection not blocked. Reading consistent. Calibration current.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Temperature instruments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Gauges/sensors functioning. Thermowells intact. Readings consistent. Alarms functional where installed.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Drain valves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lowest point. Operable, not seized. Line clear. Automatic traps functional. Regular draining schedule maintained.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Level indicators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 and functioning. Glass not cracked. Isolation valves operable. Alarms functional. Readings consistent.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Internal Inspection &amp; Documentation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surface condition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from corrosion, pitting, erosion, cracking. UT thickness at CMLs. Wall above minimum. Corrosion rate calculated. Welds inspected.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components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Internals secure and in good condition. No loose parts. Linings intact. Cathodic protection adequate.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Manways and access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Covers and gaskets in good condition. Seating surfaces not damaged. Bolting adequate. Confined space procedures followed.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Thickness records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UT measurements documented at all CMLs. Compared to previous readings. Minimum thickness calculated. Next interval established.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Inspection documentation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ASME data report on file. Previous reports organized. Repair/alteration records. PRV test records current. Jurisdictional certificates current.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Remove any pressure vessel from service immediately if operating pressure exceeds MAWP, wall thickness is below minimum required, safety relief devices are non-functional or blocked, or visual inspection reveals cracks, bulging, or active leaks. Pressure vessel failures can result in catastrophic explosions and fatalities.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Inspector: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Facility Manager / Engineer: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2026-02-23T01:59:23.124Z</dcterms:created>
  <dcterms:modified xsi:type="dcterms:W3CDTF">2026-02-23T01:59:23.124Z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