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RCRA Hazardous Waste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wldx7cicunyaj9iyztcz0">
              <w:r>
                <w:rPr>
                  <w:rStyle w:val="Hyperlink"/>
                  <w:rFonts w:ascii="Arial" w:cs="Arial" w:eastAsia="Arial" w:hAnsi="Arial"/>
                  <w:color w:val="1155CC"/>
                  <w:sz w:val="19"/>
                  <w:szCs w:val="19"/>
                  <w:u w:val="single"/>
                </w:rPr>
                <w:t xml:space="preserve">40 CFR Part 262 — Standards Applicable to Generators of Hazardous Waste</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jxda8yfgwe-q2llyoxmeh">
              <w:r>
                <w:rPr>
                  <w:rStyle w:val="Hyperlink"/>
                  <w:rFonts w:ascii="Arial" w:cs="Arial" w:eastAsia="Arial" w:hAnsi="Arial"/>
                  <w:color w:val="1155CC"/>
                  <w:sz w:val="19"/>
                  <w:szCs w:val="19"/>
                  <w:u w:val="single"/>
                </w:rPr>
                <w:t xml:space="preserve">40 CFR Part 265 — Interim Status Standards for Owners and Operators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buaijmql4leqqzr-yvoho">
              <w:r>
                <w:rPr>
                  <w:rStyle w:val="Hyperlink"/>
                  <w:rFonts w:ascii="Arial" w:cs="Arial" w:eastAsia="Arial" w:hAnsi="Arial"/>
                  <w:color w:val="1155CC"/>
                  <w:sz w:val="19"/>
                  <w:szCs w:val="19"/>
                  <w:u w:val="single"/>
                </w:rPr>
                <w:t xml:space="preserve">40 CFR Part 268 — Land Disposal Restrictions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c6a9eedzzlyv-txfgdagk">
              <w:r>
                <w:rPr>
                  <w:rStyle w:val="Hyperlink"/>
                  <w:rFonts w:ascii="Arial" w:cs="Arial" w:eastAsia="Arial" w:hAnsi="Arial"/>
                  <w:color w:val="1155CC"/>
                  <w:sz w:val="19"/>
                  <w:szCs w:val="19"/>
                  <w:u w:val="single"/>
                </w:rPr>
                <w:t xml:space="preserve">40 CFR 262.17 — Conditions for Exemption for Large Quantity Generators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rvmfdni5sebxk66augxe0">
              <w:r>
                <w:rPr>
                  <w:rStyle w:val="Hyperlink"/>
                  <w:rFonts w:ascii="Arial" w:cs="Arial" w:eastAsia="Arial" w:hAnsi="Arial"/>
                  <w:color w:val="1155CC"/>
                  <w:sz w:val="19"/>
                  <w:szCs w:val="19"/>
                  <w:u w:val="single"/>
                </w:rPr>
                <w:t xml:space="preserve">40 CFR 262.16 — Conditions for Exemption for Small Quantity Generators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c7_ptf2vvhn0hbulazh3p">
              <w:r>
                <w:rPr>
                  <w:rStyle w:val="Hyperlink"/>
                  <w:rFonts w:ascii="Arial" w:cs="Arial" w:eastAsia="Arial" w:hAnsi="Arial"/>
                  <w:color w:val="1155CC"/>
                  <w:sz w:val="19"/>
                  <w:szCs w:val="19"/>
                  <w:u w:val="single"/>
                </w:rPr>
                <w:t xml:space="preserve">EPA Hazardous Waste Generator Regulations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3gld1uevrvdasmqua1xyw">
              <w:r>
                <w:rPr>
                  <w:rStyle w:val="Hyperlink"/>
                  <w:rFonts w:ascii="Arial" w:cs="Arial" w:eastAsia="Arial" w:hAnsi="Arial"/>
                  <w:color w:val="1155CC"/>
                  <w:sz w:val="19"/>
                  <w:szCs w:val="19"/>
                  <w:u w:val="single"/>
                </w:rPr>
                <w:t xml:space="preserve">EPA Audit Policy — Incentives for Self-Policing</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Generator Status and Waste Characterization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Generator status determination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Current generator status (VSQG, SQG, LQG) is correctly determined based on actual monthly generation rates. Status is re-evaluated when generation rates change. Documentation supports the determination.</w:t>
            </w:r>
          </w:p>
          <w:p>
            <w:pPr>
              <w:spacing w:after="0" w:before="60"/>
            </w:pPr>
            <w:r>
              <w:rPr>
                <w:rFonts w:ascii="Arial" w:cs="Arial" w:eastAsia="Arial" w:hAnsi="Arial"/>
                <w:i/>
                <w:iCs/>
                <w:color w:val="888888"/>
                <w:sz w:val="16"/>
                <w:szCs w:val="16"/>
              </w:rPr>
              <w:t xml:space="preserve">» Ref: </w:t>
            </w:r>
            <w:hyperlink w:history="1" r:id="rIddmbjzaghkqows8vnpqp0i">
              <w:r>
                <w:rPr>
                  <w:rFonts w:ascii="Arial" w:cs="Arial" w:eastAsia="Arial" w:hAnsi="Arial"/>
                  <w:i/>
                  <w:iCs/>
                  <w:color w:val="1155CC"/>
                  <w:sz w:val="16"/>
                  <w:szCs w:val="16"/>
                  <w:u w:val="single"/>
                </w:rPr>
                <w:t xml:space="preserve">40 CFR 262.13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EPA ID number</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Valid EPA Identification Number (EPA ID) is obtained and current. EPA ID is used on all manifests, reports, and correspondence. If generator status changed from VSQG, an EPA ID was obtained before shipping waste.</w:t>
            </w:r>
          </w:p>
          <w:p>
            <w:pPr>
              <w:spacing w:after="0" w:before="60"/>
            </w:pPr>
            <w:r>
              <w:rPr>
                <w:rFonts w:ascii="Arial" w:cs="Arial" w:eastAsia="Arial" w:hAnsi="Arial"/>
                <w:i/>
                <w:iCs/>
                <w:color w:val="888888"/>
                <w:sz w:val="16"/>
                <w:szCs w:val="16"/>
              </w:rPr>
              <w:t xml:space="preserve">» Ref: </w:t>
            </w:r>
            <w:hyperlink w:history="1" r:id="rIdk_w9igbtwbuokuunaw8f2">
              <w:r>
                <w:rPr>
                  <w:rFonts w:ascii="Arial" w:cs="Arial" w:eastAsia="Arial" w:hAnsi="Arial"/>
                  <w:i/>
                  <w:iCs/>
                  <w:color w:val="1155CC"/>
                  <w:sz w:val="16"/>
                  <w:szCs w:val="16"/>
                  <w:u w:val="single"/>
                </w:rPr>
                <w:t xml:space="preserve">40 CFR 262.12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Waste characterization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waste streams have been characterized through testing or process knowledge. Hazardous waste determinations are documented with supporting analytical data or process knowledge documentation. Waste codes are correctly assigned.</w:t>
            </w:r>
          </w:p>
          <w:p>
            <w:pPr>
              <w:spacing w:after="0" w:before="60"/>
            </w:pPr>
            <w:r>
              <w:rPr>
                <w:rFonts w:ascii="Arial" w:cs="Arial" w:eastAsia="Arial" w:hAnsi="Arial"/>
                <w:i/>
                <w:iCs/>
                <w:color w:val="888888"/>
                <w:sz w:val="16"/>
                <w:szCs w:val="16"/>
              </w:rPr>
              <w:t xml:space="preserve">» Ref: </w:t>
            </w:r>
            <w:hyperlink w:history="1" r:id="rId_u9ndbtu82w6sdvxqbmvx">
              <w:r>
                <w:rPr>
                  <w:rFonts w:ascii="Arial" w:cs="Arial" w:eastAsia="Arial" w:hAnsi="Arial"/>
                  <w:i/>
                  <w:iCs/>
                  <w:color w:val="1155CC"/>
                  <w:sz w:val="16"/>
                  <w:szCs w:val="16"/>
                  <w:u w:val="single"/>
                </w:rPr>
                <w:t xml:space="preserve">40 CFR 262.11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Waste stream inventory</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Complete inventory of all hazardous waste streams is maintained. Each waste stream has an assigned waste code, typical generation rate, and accumulation location. New processes or materials are evaluated for waste characterization.</w:t>
            </w:r>
          </w:p>
          <w:p>
            <w:pPr>
              <w:spacing w:after="0" w:before="60"/>
            </w:pPr>
            <w:r>
              <w:rPr>
                <w:rFonts w:ascii="Arial" w:cs="Arial" w:eastAsia="Arial" w:hAnsi="Arial"/>
                <w:i/>
                <w:iCs/>
                <w:color w:val="888888"/>
                <w:sz w:val="16"/>
                <w:szCs w:val="16"/>
              </w:rPr>
              <w:t xml:space="preserve">» Ref: </w:t>
            </w:r>
            <w:hyperlink w:history="1" r:id="rId0xm_vdipzs-fgckx8hxml">
              <w:r>
                <w:rPr>
                  <w:rFonts w:ascii="Arial" w:cs="Arial" w:eastAsia="Arial" w:hAnsi="Arial"/>
                  <w:i/>
                  <w:iCs/>
                  <w:color w:val="1155CC"/>
                  <w:sz w:val="16"/>
                  <w:szCs w:val="16"/>
                  <w:u w:val="single"/>
                </w:rPr>
                <w:t xml:space="preserve">40 CFR 262.11, 262.13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Accumulation and Storage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Accumulation time limits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Waste is shipped off-site within applicable time limits: 270 days for SQGs (or 90 days for LQGs). Accumulation start dates are clearly marked on all containers. Extensions for transportation distances over 200 miles are documented if applicable.</w:t>
            </w:r>
          </w:p>
          <w:p>
            <w:pPr>
              <w:spacing w:after="0" w:before="60"/>
            </w:pPr>
            <w:r>
              <w:rPr>
                <w:rFonts w:ascii="Arial" w:cs="Arial" w:eastAsia="Arial" w:hAnsi="Arial"/>
                <w:i/>
                <w:iCs/>
                <w:color w:val="888888"/>
                <w:sz w:val="16"/>
                <w:szCs w:val="16"/>
              </w:rPr>
              <w:t xml:space="preserve">» Ref: </w:t>
            </w:r>
            <w:hyperlink w:history="1" r:id="rId6q2ua4ufupoyrmboe6otb">
              <w:r>
                <w:rPr>
                  <w:rFonts w:ascii="Arial" w:cs="Arial" w:eastAsia="Arial" w:hAnsi="Arial"/>
                  <w:i/>
                  <w:iCs/>
                  <w:color w:val="1155CC"/>
                  <w:sz w:val="16"/>
                  <w:szCs w:val="16"/>
                  <w:u w:val="single"/>
                </w:rPr>
                <w:t xml:space="preserve">40 CFR 262.16(b), 262.17(a)</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Satellite accumulation areas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Satellite accumulation areas (SAAs) are at or near the point of generation. No more than 55 gallons of hazardous waste (or 1 quart of acutely hazardous waste) per waste stream per SAA. Containers are in good condition and compatible with waste.</w:t>
            </w:r>
          </w:p>
          <w:p>
            <w:pPr>
              <w:spacing w:after="0" w:before="60"/>
            </w:pPr>
            <w:r>
              <w:rPr>
                <w:rFonts w:ascii="Arial" w:cs="Arial" w:eastAsia="Arial" w:hAnsi="Arial"/>
                <w:i/>
                <w:iCs/>
                <w:color w:val="888888"/>
                <w:sz w:val="16"/>
                <w:szCs w:val="16"/>
              </w:rPr>
              <w:t xml:space="preserve">» Ref: </w:t>
            </w:r>
            <w:hyperlink w:history="1" r:id="rId_ga8a7rpwyqbn32rl9jfz">
              <w:r>
                <w:rPr>
                  <w:rFonts w:ascii="Arial" w:cs="Arial" w:eastAsia="Arial" w:hAnsi="Arial"/>
                  <w:i/>
                  <w:iCs/>
                  <w:color w:val="1155CC"/>
                  <w:sz w:val="16"/>
                  <w:szCs w:val="16"/>
                  <w:u w:val="single"/>
                </w:rPr>
                <w:t xml:space="preserve">40 CFR 262.15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Container management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containers are closed except when adding or removing waste. Containers are in good condition with no leaks or corrosion. Containers are compatible with the waste they hold. Weekly inspections are conducted (LQG) or as appropriate for generator status.</w:t>
            </w:r>
          </w:p>
          <w:p>
            <w:pPr>
              <w:spacing w:after="0" w:before="60"/>
            </w:pPr>
            <w:r>
              <w:rPr>
                <w:rFonts w:ascii="Arial" w:cs="Arial" w:eastAsia="Arial" w:hAnsi="Arial"/>
                <w:i/>
                <w:iCs/>
                <w:color w:val="888888"/>
                <w:sz w:val="16"/>
                <w:szCs w:val="16"/>
              </w:rPr>
              <w:t xml:space="preserve">» Ref: </w:t>
            </w:r>
            <w:hyperlink w:history="1" r:id="rIdctrky1ntxhhdw2sszmz2s">
              <w:r>
                <w:rPr>
                  <w:rFonts w:ascii="Arial" w:cs="Arial" w:eastAsia="Arial" w:hAnsi="Arial"/>
                  <w:i/>
                  <w:iCs/>
                  <w:color w:val="1155CC"/>
                  <w:sz w:val="16"/>
                  <w:szCs w:val="16"/>
                  <w:u w:val="single"/>
                </w:rPr>
                <w:t xml:space="preserve">40 CFR 262.16(b)(2), 265.173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Labeling and marking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containers are labeled with the words 'Hazardous Waste,' the accumulation start date, and the applicable waste codes. Labels are legible and visible. DOT markings are applied before transport.</w:t>
            </w:r>
          </w:p>
          <w:p>
            <w:pPr>
              <w:spacing w:after="0" w:before="60"/>
            </w:pPr>
            <w:r>
              <w:rPr>
                <w:rFonts w:ascii="Arial" w:cs="Arial" w:eastAsia="Arial" w:hAnsi="Arial"/>
                <w:i/>
                <w:iCs/>
                <w:color w:val="888888"/>
                <w:sz w:val="16"/>
                <w:szCs w:val="16"/>
              </w:rPr>
              <w:t xml:space="preserve">» Ref: </w:t>
            </w:r>
            <w:hyperlink w:history="1" r:id="rIdllbcjec75wlgybyf4uvak">
              <w:r>
                <w:rPr>
                  <w:rFonts w:ascii="Arial" w:cs="Arial" w:eastAsia="Arial" w:hAnsi="Arial"/>
                  <w:i/>
                  <w:iCs/>
                  <w:color w:val="1155CC"/>
                  <w:sz w:val="16"/>
                  <w:szCs w:val="16"/>
                  <w:u w:val="single"/>
                </w:rPr>
                <w:t xml:space="preserve">40 CFR 262.16(b)(6), 262.17(a)(5)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Manifesting and Recordkeeping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Manifest completion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Uniform Hazardous Waste Manifests (EPA Form 8700-22) are properly completed for all off-site shipments. Generator information, waste descriptions, handling codes, and container counts are accurate. Electronic manifesting (e-Manifest) is used where required.</w:t>
            </w:r>
          </w:p>
          <w:p>
            <w:pPr>
              <w:spacing w:after="0" w:before="60"/>
            </w:pPr>
            <w:r>
              <w:rPr>
                <w:rFonts w:ascii="Arial" w:cs="Arial" w:eastAsia="Arial" w:hAnsi="Arial"/>
                <w:i/>
                <w:iCs/>
                <w:color w:val="888888"/>
                <w:sz w:val="16"/>
                <w:szCs w:val="16"/>
              </w:rPr>
              <w:t xml:space="preserve">» Ref: </w:t>
            </w:r>
            <w:hyperlink w:history="1" r:id="rIdz7gziz-bntb53wfvmvcsv">
              <w:r>
                <w:rPr>
                  <w:rFonts w:ascii="Arial" w:cs="Arial" w:eastAsia="Arial" w:hAnsi="Arial"/>
                  <w:i/>
                  <w:iCs/>
                  <w:color w:val="1155CC"/>
                  <w:sz w:val="16"/>
                  <w:szCs w:val="16"/>
                  <w:u w:val="single"/>
                </w:rPr>
                <w:t xml:space="preserve">40 CFR 262.20-262.23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Manifest tracking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Signed copies are returned from the designated facility within 35 days (or 45 days for e-Manifest). Exception reports are filed with EPA/state if signed copies are not received within 35/45 days. All manifests are retained for at least three years.</w:t>
            </w:r>
          </w:p>
          <w:p>
            <w:pPr>
              <w:spacing w:after="0" w:before="60"/>
            </w:pPr>
            <w:r>
              <w:rPr>
                <w:rFonts w:ascii="Arial" w:cs="Arial" w:eastAsia="Arial" w:hAnsi="Arial"/>
                <w:i/>
                <w:iCs/>
                <w:color w:val="888888"/>
                <w:sz w:val="16"/>
                <w:szCs w:val="16"/>
              </w:rPr>
              <w:t xml:space="preserve">» Ref: </w:t>
            </w:r>
            <w:hyperlink w:history="1" r:id="rIdcm3lpuhcj8wy_ynv9rez7">
              <w:r>
                <w:rPr>
                  <w:rFonts w:ascii="Arial" w:cs="Arial" w:eastAsia="Arial" w:hAnsi="Arial"/>
                  <w:i/>
                  <w:iCs/>
                  <w:color w:val="1155CC"/>
                  <w:sz w:val="16"/>
                  <w:szCs w:val="16"/>
                  <w:u w:val="single"/>
                </w:rPr>
                <w:t xml:space="preserve">40 CFR 262.42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Biennial report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Biennial Report (EPA Form 8700-13A/B) is submitted by March 1 of each even-numbered year (LQGs). Report accurately reflects all hazardous waste generated, shipped, and managed during the reporting period.</w:t>
            </w:r>
          </w:p>
          <w:p>
            <w:pPr>
              <w:spacing w:after="0" w:before="60"/>
            </w:pPr>
            <w:r>
              <w:rPr>
                <w:rFonts w:ascii="Arial" w:cs="Arial" w:eastAsia="Arial" w:hAnsi="Arial"/>
                <w:i/>
                <w:iCs/>
                <w:color w:val="888888"/>
                <w:sz w:val="16"/>
                <w:szCs w:val="16"/>
              </w:rPr>
              <w:t xml:space="preserve">» Ref: </w:t>
            </w:r>
            <w:hyperlink w:history="1" r:id="rIdm4zjznum2rvljaahmknkz">
              <w:r>
                <w:rPr>
                  <w:rFonts w:ascii="Arial" w:cs="Arial" w:eastAsia="Arial" w:hAnsi="Arial"/>
                  <w:i/>
                  <w:iCs/>
                  <w:color w:val="1155CC"/>
                  <w:sz w:val="16"/>
                  <w:szCs w:val="16"/>
                  <w:u w:val="single"/>
                </w:rPr>
                <w:t xml:space="preserve">40 CFR 262.41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Land Disposal Restrictions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LDR notifications and certifications accompany the first shipment of each waste stream to a treatment/disposal facility. Records document that waste meets applicable treatment standards or is being sent for proper treatment.</w:t>
            </w:r>
          </w:p>
          <w:p>
            <w:pPr>
              <w:spacing w:after="0" w:before="60"/>
            </w:pPr>
            <w:r>
              <w:rPr>
                <w:rFonts w:ascii="Arial" w:cs="Arial" w:eastAsia="Arial" w:hAnsi="Arial"/>
                <w:i/>
                <w:iCs/>
                <w:color w:val="888888"/>
                <w:sz w:val="16"/>
                <w:szCs w:val="16"/>
              </w:rPr>
              <w:t xml:space="preserve">» Ref: </w:t>
            </w:r>
            <w:hyperlink w:history="1" r:id="rId9ui-hadqwfuv8fxcsih7i">
              <w:r>
                <w:rPr>
                  <w:rFonts w:ascii="Arial" w:cs="Arial" w:eastAsia="Arial" w:hAnsi="Arial"/>
                  <w:i/>
                  <w:iCs/>
                  <w:color w:val="1155CC"/>
                  <w:sz w:val="16"/>
                  <w:szCs w:val="16"/>
                  <w:u w:val="single"/>
                </w:rPr>
                <w:t xml:space="preserve">40 CFR 268.7</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Training and Emergency Preparedness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Personnel training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personnel who handle hazardous waste have completed initial and annual refresher training within required timeframes. Training covers waste handling procedures, emergency response, and regulatory requirements. Training records include name, job title, date, and description of training.</w:t>
            </w:r>
          </w:p>
          <w:p>
            <w:pPr>
              <w:spacing w:after="0" w:before="60"/>
            </w:pPr>
            <w:r>
              <w:rPr>
                <w:rFonts w:ascii="Arial" w:cs="Arial" w:eastAsia="Arial" w:hAnsi="Arial"/>
                <w:i/>
                <w:iCs/>
                <w:color w:val="888888"/>
                <w:sz w:val="16"/>
                <w:szCs w:val="16"/>
              </w:rPr>
              <w:t xml:space="preserve">» Ref: </w:t>
            </w:r>
            <w:hyperlink w:history="1" r:id="rIdwth0nmksguikc3j5ii349">
              <w:r>
                <w:rPr>
                  <w:rFonts w:ascii="Arial" w:cs="Arial" w:eastAsia="Arial" w:hAnsi="Arial"/>
                  <w:i/>
                  <w:iCs/>
                  <w:color w:val="1155CC"/>
                  <w:sz w:val="16"/>
                  <w:szCs w:val="16"/>
                  <w:u w:val="single"/>
                </w:rPr>
                <w:t xml:space="preserve">40 CFR 262.17(a)(7), 265.16</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Emergency procedures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Contingency plan (LQG) or emergency procedures (SQG) are in place and current. Emergency coordinator is designated and contact information is posted. Arrangements with local emergency responders are documented.</w:t>
            </w:r>
          </w:p>
          <w:p>
            <w:pPr>
              <w:spacing w:after="0" w:before="60"/>
            </w:pPr>
            <w:r>
              <w:rPr>
                <w:rFonts w:ascii="Arial" w:cs="Arial" w:eastAsia="Arial" w:hAnsi="Arial"/>
                <w:i/>
                <w:iCs/>
                <w:color w:val="888888"/>
                <w:sz w:val="16"/>
                <w:szCs w:val="16"/>
              </w:rPr>
              <w:t xml:space="preserve">» Ref: </w:t>
            </w:r>
            <w:hyperlink w:history="1" r:id="rIdwh7k0rcy-kffcocjkqcng">
              <w:r>
                <w:rPr>
                  <w:rFonts w:ascii="Arial" w:cs="Arial" w:eastAsia="Arial" w:hAnsi="Arial"/>
                  <w:i/>
                  <w:iCs/>
                  <w:color w:val="1155CC"/>
                  <w:sz w:val="16"/>
                  <w:szCs w:val="16"/>
                  <w:u w:val="single"/>
                </w:rPr>
                <w:t xml:space="preserve">40 CFR 262.16(b)(8)-(9), 262.17(a)(6)</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Emergency equipment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Required emergency equipment (fire extinguisher, spill kit, communications device) is available and maintained. Equipment is tested and inspected per schedule. Access to emergency equipment is unobstructed.</w:t>
            </w:r>
          </w:p>
          <w:p>
            <w:pPr>
              <w:spacing w:after="0" w:before="60"/>
            </w:pPr>
            <w:r>
              <w:rPr>
                <w:rFonts w:ascii="Arial" w:cs="Arial" w:eastAsia="Arial" w:hAnsi="Arial"/>
                <w:i/>
                <w:iCs/>
                <w:color w:val="888888"/>
                <w:sz w:val="16"/>
                <w:szCs w:val="16"/>
              </w:rPr>
              <w:t xml:space="preserve">» Ref: </w:t>
            </w:r>
            <w:hyperlink w:history="1" r:id="rIdlfnyls4nznluhcqjmbesv">
              <w:r>
                <w:rPr>
                  <w:rFonts w:ascii="Arial" w:cs="Arial" w:eastAsia="Arial" w:hAnsi="Arial"/>
                  <w:i/>
                  <w:iCs/>
                  <w:color w:val="1155CC"/>
                  <w:sz w:val="16"/>
                  <w:szCs w:val="16"/>
                  <w:u w:val="single"/>
                </w:rPr>
                <w:t xml:space="preserve">40 CFR 262.16(b)(8), 265.32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RCRA Hazardous Waste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wldx7cicunyaj9iyztcz0" Type="http://schemas.openxmlformats.org/officeDocument/2006/relationships/hyperlink" Target="https://www.ecfr.gov/current/title-40/chapter-I/subchapter-I/part-262" TargetMode="External"/><Relationship Id="rIdjxda8yfgwe-q2llyoxmeh" Type="http://schemas.openxmlformats.org/officeDocument/2006/relationships/hyperlink" Target="https://www.ecfr.gov/current/title-40/chapter-I/subchapter-I/part-265" TargetMode="External"/><Relationship Id="rIdbuaijmql4leqqzr-yvoho" Type="http://schemas.openxmlformats.org/officeDocument/2006/relationships/hyperlink" Target="https://www.ecfr.gov/current/title-40/chapter-I/subchapter-I/part-268" TargetMode="External"/><Relationship Id="rIdc6a9eedzzlyv-txfgdagk" Type="http://schemas.openxmlformats.org/officeDocument/2006/relationships/hyperlink" Target="https://www.ecfr.gov/current/title-40/chapter-I/subchapter-I/part-262/subpart-A/section-262.17" TargetMode="External"/><Relationship Id="rIdrvmfdni5sebxk66augxe0" Type="http://schemas.openxmlformats.org/officeDocument/2006/relationships/hyperlink" Target="https://www.ecfr.gov/current/title-40/chapter-I/subchapter-I/part-262/subpart-A/section-262.16" TargetMode="External"/><Relationship Id="rIdc7_ptf2vvhn0hbulazh3p" Type="http://schemas.openxmlformats.org/officeDocument/2006/relationships/hyperlink" Target="https://www.epa.gov/hwgenerators" TargetMode="External"/><Relationship Id="rId3gld1uevrvdasmqua1xyw" Type="http://schemas.openxmlformats.org/officeDocument/2006/relationships/hyperlink" Target="https://www.epa.gov/compliance/epas-audit-policy" TargetMode="External"/><Relationship Id="rIddmbjzaghkqows8vnpqp0i" Type="http://schemas.openxmlformats.org/officeDocument/2006/relationships/hyperlink" Target="https://www.ecfr.gov/current/title-40/chapter-I/subchapter-I/part-262/subpart-A/section-262.13" TargetMode="External"/><Relationship Id="rIdk_w9igbtwbuokuunaw8f2" Type="http://schemas.openxmlformats.org/officeDocument/2006/relationships/hyperlink" Target="https://www.ecfr.gov/current/title-40/chapter-I/subchapter-I/part-262/subpart-A/section-262.12" TargetMode="External"/><Relationship Id="rId_u9ndbtu82w6sdvxqbmvx" Type="http://schemas.openxmlformats.org/officeDocument/2006/relationships/hyperlink" Target="https://www.ecfr.gov/current/title-40/chapter-I/subchapter-I/part-262/subpart-A/section-262.11" TargetMode="External"/><Relationship Id="rId0xm_vdipzs-fgckx8hxml" Type="http://schemas.openxmlformats.org/officeDocument/2006/relationships/hyperlink" Target="https://www.ecfr.gov/current/title-40/chapter-I/subchapter-I/part-262/subpart-A/section-262.11" TargetMode="External"/><Relationship Id="rId6q2ua4ufupoyrmboe6otb" Type="http://schemas.openxmlformats.org/officeDocument/2006/relationships/hyperlink" Target="https://www.ecfr.gov/current/title-40/chapter-I/subchapter-I/part-262/subpart-A/section-262.16" TargetMode="External"/><Relationship Id="rId_ga8a7rpwyqbn32rl9jfz" Type="http://schemas.openxmlformats.org/officeDocument/2006/relationships/hyperlink" Target="https://www.ecfr.gov/current/title-40/chapter-I/subchapter-I/part-262/subpart-A/section-262.15" TargetMode="External"/><Relationship Id="rIdctrky1ntxhhdw2sszmz2s" Type="http://schemas.openxmlformats.org/officeDocument/2006/relationships/hyperlink" Target="https://www.ecfr.gov/current/title-40/chapter-I/subchapter-I/part-265/subpart-I/section-265.173" TargetMode="External"/><Relationship Id="rIdllbcjec75wlgybyf4uvak" Type="http://schemas.openxmlformats.org/officeDocument/2006/relationships/hyperlink" Target="https://www.ecfr.gov/current/title-40/chapter-I/subchapter-I/part-262/subpart-A/section-262.16" TargetMode="External"/><Relationship Id="rIdz7gziz-bntb53wfvmvcsv" Type="http://schemas.openxmlformats.org/officeDocument/2006/relationships/hyperlink" Target="https://www.ecfr.gov/current/title-40/chapter-I/subchapter-I/part-262/subpart-B" TargetMode="External"/><Relationship Id="rIdcm3lpuhcj8wy_ynv9rez7" Type="http://schemas.openxmlformats.org/officeDocument/2006/relationships/hyperlink" Target="https://www.ecfr.gov/current/title-40/chapter-I/subchapter-I/part-262/subpart-D/section-262.42" TargetMode="External"/><Relationship Id="rIdm4zjznum2rvljaahmknkz" Type="http://schemas.openxmlformats.org/officeDocument/2006/relationships/hyperlink" Target="https://www.ecfr.gov/current/title-40/chapter-I/subchapter-I/part-262/subpart-D/section-262.41" TargetMode="External"/><Relationship Id="rId9ui-hadqwfuv8fxcsih7i" Type="http://schemas.openxmlformats.org/officeDocument/2006/relationships/hyperlink" Target="https://www.ecfr.gov/current/title-40/chapter-I/subchapter-I/part-268/subpart-A/section-268.7" TargetMode="External"/><Relationship Id="rIdwth0nmksguikc3j5ii349" Type="http://schemas.openxmlformats.org/officeDocument/2006/relationships/hyperlink" Target="https://www.ecfr.gov/current/title-40/chapter-I/subchapter-I/part-265/subpart-B/section-265.16" TargetMode="External"/><Relationship Id="rIdwh7k0rcy-kffcocjkqcng" Type="http://schemas.openxmlformats.org/officeDocument/2006/relationships/hyperlink" Target="https://www.ecfr.gov/current/title-40/chapter-I/subchapter-I/part-262/subpart-A/section-262.16" TargetMode="External"/><Relationship Id="rIdlfnyls4nznluhcqjmbesv" Type="http://schemas.openxmlformats.org/officeDocument/2006/relationships/hyperlink" Target="https://www.ecfr.gov/current/title-40/chapter-I/subchapter-I/part-265/subpart-C/section-265.32" TargetMode="External"/><Relationship Id="rId3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2026-03-01T15:37:01.709Z</dcterms:created>
  <dcterms:modified xsi:type="dcterms:W3CDTF">2026-03-01T15:37:01.709Z</dcterms:modified>
</cp:coreProperties>
</file>

<file path=docProps/custom.xml><?xml version="1.0" encoding="utf-8"?>
<Properties xmlns="http://schemas.openxmlformats.org/officeDocument/2006/custom-properties" xmlns:vt="http://schemas.openxmlformats.org/officeDocument/2006/docPropsVTypes"/>
</file>