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SPCC Program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as98uyijqixslkgkfidxr">
              <w:r>
                <w:rPr>
                  <w:rStyle w:val="Hyperlink"/>
                  <w:rFonts w:ascii="Arial" w:cs="Arial" w:eastAsia="Arial" w:hAnsi="Arial"/>
                  <w:color w:val="1155CC"/>
                  <w:sz w:val="19"/>
                  <w:szCs w:val="19"/>
                  <w:u w:val="single"/>
                </w:rPr>
                <w:t xml:space="preserve">40 CFR Part 112 — Oil Pollution Prevention (Full Text)</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mijyovuyezdxr7fmd1ojq">
              <w:r>
                <w:rPr>
                  <w:rStyle w:val="Hyperlink"/>
                  <w:rFonts w:ascii="Arial" w:cs="Arial" w:eastAsia="Arial" w:hAnsi="Arial"/>
                  <w:color w:val="1155CC"/>
                  <w:sz w:val="19"/>
                  <w:szCs w:val="19"/>
                  <w:u w:val="single"/>
                </w:rPr>
                <w:t xml:space="preserve">40 CFR 112.5 — Amendment of SPCC Plan by Owners/Operators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7rtscszkjfplmsz08wi5_">
              <w:r>
                <w:rPr>
                  <w:rStyle w:val="Hyperlink"/>
                  <w:rFonts w:ascii="Arial" w:cs="Arial" w:eastAsia="Arial" w:hAnsi="Arial"/>
                  <w:color w:val="1155CC"/>
                  <w:sz w:val="19"/>
                  <w:szCs w:val="19"/>
                  <w:u w:val="single"/>
                </w:rPr>
                <w:t xml:space="preserve">40 CFR 112.7 — General Requirements for SPCC Plans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1hh929c2c3vc1bwomgw8w">
              <w:r>
                <w:rPr>
                  <w:rStyle w:val="Hyperlink"/>
                  <w:rFonts w:ascii="Arial" w:cs="Arial" w:eastAsia="Arial" w:hAnsi="Arial"/>
                  <w:color w:val="1155CC"/>
                  <w:sz w:val="19"/>
                  <w:szCs w:val="19"/>
                  <w:u w:val="single"/>
                </w:rPr>
                <w:t xml:space="preserve">40 CFR 112.20 — Facility Response Plans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htooglx_a1ddifqwxvb5f">
              <w:r>
                <w:rPr>
                  <w:rStyle w:val="Hyperlink"/>
                  <w:rFonts w:ascii="Arial" w:cs="Arial" w:eastAsia="Arial" w:hAnsi="Arial"/>
                  <w:color w:val="1155CC"/>
                  <w:sz w:val="19"/>
                  <w:szCs w:val="19"/>
                  <w:u w:val="single"/>
                </w:rPr>
                <w:t xml:space="preserve">EPA SPCC Rule Overview and Guidance</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9-o3ndfdl1-wdu3v706ch">
              <w:r>
                <w:rPr>
                  <w:rStyle w:val="Hyperlink"/>
                  <w:rFonts w:ascii="Arial" w:cs="Arial" w:eastAsia="Arial" w:hAnsi="Arial"/>
                  <w:color w:val="1155CC"/>
                  <w:sz w:val="19"/>
                  <w:szCs w:val="19"/>
                  <w:u w:val="single"/>
                </w:rPr>
                <w:t xml:space="preserve">Clean Water Act Section 311 — Oil and Hazardous Substance Liability</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Plan Documentation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Plan availability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Current SPCC Plan is maintained at the facility and available for EPA inspection. Plan is accessible to all operating personnel. A copy is available at the facility 24/7, not just during business hours.</w:t>
            </w:r>
          </w:p>
          <w:p>
            <w:pPr>
              <w:spacing w:after="0" w:before="60"/>
            </w:pPr>
            <w:r>
              <w:rPr>
                <w:rFonts w:ascii="Arial" w:cs="Arial" w:eastAsia="Arial" w:hAnsi="Arial"/>
                <w:i/>
                <w:iCs/>
                <w:color w:val="888888"/>
                <w:sz w:val="16"/>
                <w:szCs w:val="16"/>
              </w:rPr>
              <w:t xml:space="preserve">» Ref: </w:t>
            </w:r>
            <w:hyperlink w:history="1" r:id="rIdn2cguh-hb_vgrvoqqvno7">
              <w:r>
                <w:rPr>
                  <w:rFonts w:ascii="Arial" w:cs="Arial" w:eastAsia="Arial" w:hAnsi="Arial"/>
                  <w:i/>
                  <w:iCs/>
                  <w:color w:val="1155CC"/>
                  <w:sz w:val="16"/>
                  <w:szCs w:val="16"/>
                  <w:u w:val="single"/>
                </w:rPr>
                <w:t xml:space="preserve">40 CFR 112.3(a)</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PE certification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Plan is certified by a licensed Professional Engineer (PE). PE certification is current and has been renewed within the last five years or after any significant amendment. Self-certified plans (Tier I qualified facilities) meet all eligibility criteria.</w:t>
            </w:r>
          </w:p>
          <w:p>
            <w:pPr>
              <w:spacing w:after="0" w:before="60"/>
            </w:pPr>
            <w:r>
              <w:rPr>
                <w:rFonts w:ascii="Arial" w:cs="Arial" w:eastAsia="Arial" w:hAnsi="Arial"/>
                <w:i/>
                <w:iCs/>
                <w:color w:val="888888"/>
                <w:sz w:val="16"/>
                <w:szCs w:val="16"/>
              </w:rPr>
              <w:t xml:space="preserve">» Ref: </w:t>
            </w:r>
            <w:hyperlink w:history="1" r:id="rIdak2exa2jis8nryumhetrv">
              <w:r>
                <w:rPr>
                  <w:rFonts w:ascii="Arial" w:cs="Arial" w:eastAsia="Arial" w:hAnsi="Arial"/>
                  <w:i/>
                  <w:iCs/>
                  <w:color w:val="1155CC"/>
                  <w:sz w:val="16"/>
                  <w:szCs w:val="16"/>
                  <w:u w:val="single"/>
                </w:rPr>
                <w:t xml:space="preserve">40 CFR 112.3(d)</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Five-year review</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Plan has been reviewed and re-certified within the last five years per 40 CFR 112.5(b). Review date and PE signature are documented. If changes were needed, amendments were made and certified before implementation.</w:t>
            </w:r>
          </w:p>
          <w:p>
            <w:pPr>
              <w:spacing w:after="0" w:before="60"/>
            </w:pPr>
            <w:r>
              <w:rPr>
                <w:rFonts w:ascii="Arial" w:cs="Arial" w:eastAsia="Arial" w:hAnsi="Arial"/>
                <w:i/>
                <w:iCs/>
                <w:color w:val="888888"/>
                <w:sz w:val="16"/>
                <w:szCs w:val="16"/>
              </w:rPr>
              <w:t xml:space="preserve">» Ref: </w:t>
            </w:r>
            <w:hyperlink w:history="1" r:id="rIdiq-qvp69iirzn6fyt6ixv">
              <w:r>
                <w:rPr>
                  <w:rFonts w:ascii="Arial" w:cs="Arial" w:eastAsia="Arial" w:hAnsi="Arial"/>
                  <w:i/>
                  <w:iCs/>
                  <w:color w:val="1155CC"/>
                  <w:sz w:val="16"/>
                  <w:szCs w:val="16"/>
                  <w:u w:val="single"/>
                </w:rPr>
                <w:t xml:space="preserve">40 CFR 112.5(b)</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Facility diagram</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Plan includes a facility diagram showing all oil storage containers, transfer stations, connecting piping, drainage patterns, secondary containment, and proximity to navigable waters. Diagram is current and reflects the actual facility layout.</w:t>
            </w:r>
          </w:p>
          <w:p>
            <w:pPr>
              <w:spacing w:after="0" w:before="60"/>
            </w:pPr>
            <w:r>
              <w:rPr>
                <w:rFonts w:ascii="Arial" w:cs="Arial" w:eastAsia="Arial" w:hAnsi="Arial"/>
                <w:i/>
                <w:iCs/>
                <w:color w:val="888888"/>
                <w:sz w:val="16"/>
                <w:szCs w:val="16"/>
              </w:rPr>
              <w:t xml:space="preserve">» Ref: </w:t>
            </w:r>
            <w:hyperlink w:history="1" r:id="rIdw0mdnjovqcxbbeiovfjdm">
              <w:r>
                <w:rPr>
                  <w:rFonts w:ascii="Arial" w:cs="Arial" w:eastAsia="Arial" w:hAnsi="Arial"/>
                  <w:i/>
                  <w:iCs/>
                  <w:color w:val="1155CC"/>
                  <w:sz w:val="16"/>
                  <w:szCs w:val="16"/>
                  <w:u w:val="single"/>
                </w:rPr>
                <w:t xml:space="preserve">40 CFR 112.7(a)(3)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Oil storage inventory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oil storage containers are listed with type, capacity, and contents. Total facility storage capacity is accurately calculated. Underground and aboveground containers are listed separately.</w:t>
            </w:r>
          </w:p>
          <w:p>
            <w:pPr>
              <w:spacing w:after="0" w:before="60"/>
            </w:pPr>
            <w:r>
              <w:rPr>
                <w:rFonts w:ascii="Arial" w:cs="Arial" w:eastAsia="Arial" w:hAnsi="Arial"/>
                <w:i/>
                <w:iCs/>
                <w:color w:val="888888"/>
                <w:sz w:val="16"/>
                <w:szCs w:val="16"/>
              </w:rPr>
              <w:t xml:space="preserve">» Ref: </w:t>
            </w:r>
            <w:hyperlink w:history="1" r:id="rIdwyvjmls6wolrd7kucjzjf">
              <w:r>
                <w:rPr>
                  <w:rFonts w:ascii="Arial" w:cs="Arial" w:eastAsia="Arial" w:hAnsi="Arial"/>
                  <w:i/>
                  <w:iCs/>
                  <w:color w:val="1155CC"/>
                  <w:sz w:val="16"/>
                  <w:szCs w:val="16"/>
                  <w:u w:val="single"/>
                </w:rPr>
                <w:t xml:space="preserve">40 CFR 112.7(a)(3)(i)</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Secondary Containment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Containment adequacy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Secondary containment is sized to hold the volume of the largest single container plus sufficient freeboard for precipitation. Bulk storage containers have dikes, berms, or retaining walls. Containment is impervious to oil and maintained in good condition.</w:t>
            </w:r>
          </w:p>
          <w:p>
            <w:pPr>
              <w:spacing w:after="0" w:before="60"/>
            </w:pPr>
            <w:r>
              <w:rPr>
                <w:rFonts w:ascii="Arial" w:cs="Arial" w:eastAsia="Arial" w:hAnsi="Arial"/>
                <w:i/>
                <w:iCs/>
                <w:color w:val="888888"/>
                <w:sz w:val="16"/>
                <w:szCs w:val="16"/>
              </w:rPr>
              <w:t xml:space="preserve">» Ref: </w:t>
            </w:r>
            <w:hyperlink w:history="1" r:id="rIdxt-ei5h7o5fugcxdmz9id">
              <w:r>
                <w:rPr>
                  <w:rFonts w:ascii="Arial" w:cs="Arial" w:eastAsia="Arial" w:hAnsi="Arial"/>
                  <w:i/>
                  <w:iCs/>
                  <w:color w:val="1155CC"/>
                  <w:sz w:val="16"/>
                  <w:szCs w:val="16"/>
                  <w:u w:val="single"/>
                </w:rPr>
                <w:t xml:space="preserve">40 CFR 112.7(c)</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Drainage controls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Containment areas have controlled drainage. Valves on containment drains are maintained in the closed position. Procedures exist for inspecting and draining accumulated stormwater. Discharge of contaminated water is prevented.</w:t>
            </w:r>
          </w:p>
          <w:p>
            <w:pPr>
              <w:spacing w:after="0" w:before="60"/>
            </w:pPr>
            <w:r>
              <w:rPr>
                <w:rFonts w:ascii="Arial" w:cs="Arial" w:eastAsia="Arial" w:hAnsi="Arial"/>
                <w:i/>
                <w:iCs/>
                <w:color w:val="888888"/>
                <w:sz w:val="16"/>
                <w:szCs w:val="16"/>
              </w:rPr>
              <w:t xml:space="preserve">» Ref: </w:t>
            </w:r>
            <w:hyperlink w:history="1" r:id="rId2s_s8tqevs3-9mnanbjx0">
              <w:r>
                <w:rPr>
                  <w:rFonts w:ascii="Arial" w:cs="Arial" w:eastAsia="Arial" w:hAnsi="Arial"/>
                  <w:i/>
                  <w:iCs/>
                  <w:color w:val="1155CC"/>
                  <w:sz w:val="16"/>
                  <w:szCs w:val="16"/>
                  <w:u w:val="single"/>
                </w:rPr>
                <w:t xml:space="preserve">40 CFR 112.8(b)(1)-(2)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Loading/unloading areas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Transfer areas have spill containment or drainage to a central impoundment. Procedures require monitoring during transfers. Communication protocol between driver and facility operator is established.</w:t>
            </w:r>
          </w:p>
          <w:p>
            <w:pPr>
              <w:spacing w:after="0" w:before="60"/>
            </w:pPr>
            <w:r>
              <w:rPr>
                <w:rFonts w:ascii="Arial" w:cs="Arial" w:eastAsia="Arial" w:hAnsi="Arial"/>
                <w:i/>
                <w:iCs/>
                <w:color w:val="888888"/>
                <w:sz w:val="16"/>
                <w:szCs w:val="16"/>
              </w:rPr>
              <w:t xml:space="preserve">» Ref: </w:t>
            </w:r>
            <w:hyperlink w:history="1" r:id="rId24caisft1jt14pq1nv9p2">
              <w:r>
                <w:rPr>
                  <w:rFonts w:ascii="Arial" w:cs="Arial" w:eastAsia="Arial" w:hAnsi="Arial"/>
                  <w:i/>
                  <w:iCs/>
                  <w:color w:val="1155CC"/>
                  <w:sz w:val="16"/>
                  <w:szCs w:val="16"/>
                  <w:u w:val="single"/>
                </w:rPr>
                <w:t xml:space="preserve">40 CFR 112.7(h)</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Operating Procedures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Oil handling procedures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Written procedures exist for all oil handling operations including filling, transferring, and dispensing. Procedures address normal operations, startup, and shutdown. Overfill prevention measures are documented.</w:t>
            </w:r>
          </w:p>
          <w:p>
            <w:pPr>
              <w:spacing w:after="0" w:before="60"/>
            </w:pPr>
            <w:r>
              <w:rPr>
                <w:rFonts w:ascii="Arial" w:cs="Arial" w:eastAsia="Arial" w:hAnsi="Arial"/>
                <w:i/>
                <w:iCs/>
                <w:color w:val="888888"/>
                <w:sz w:val="16"/>
                <w:szCs w:val="16"/>
              </w:rPr>
              <w:t xml:space="preserve">» Ref: </w:t>
            </w:r>
            <w:hyperlink w:history="1" r:id="rId4nthbbux3cpughb_yokov">
              <w:r>
                <w:rPr>
                  <w:rFonts w:ascii="Arial" w:cs="Arial" w:eastAsia="Arial" w:hAnsi="Arial"/>
                  <w:i/>
                  <w:iCs/>
                  <w:color w:val="1155CC"/>
                  <w:sz w:val="16"/>
                  <w:szCs w:val="16"/>
                  <w:u w:val="single"/>
                </w:rPr>
                <w:t xml:space="preserve">40 CFR 112.7(e)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Inspection procedures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Routine inspection schedule is documented and being followed. Inspection records are maintained for at least three years. Inspection frequency meets 40 CFR 112.7(e) requirements.</w:t>
            </w:r>
          </w:p>
          <w:p>
            <w:pPr>
              <w:spacing w:after="0" w:before="60"/>
            </w:pPr>
            <w:r>
              <w:rPr>
                <w:rFonts w:ascii="Arial" w:cs="Arial" w:eastAsia="Arial" w:hAnsi="Arial"/>
                <w:i/>
                <w:iCs/>
                <w:color w:val="888888"/>
                <w:sz w:val="16"/>
                <w:szCs w:val="16"/>
              </w:rPr>
              <w:t xml:space="preserve">» Ref: </w:t>
            </w:r>
            <w:hyperlink w:history="1" r:id="rIdmqu_cnjqwdsrzvnxjf7ow">
              <w:r>
                <w:rPr>
                  <w:rFonts w:ascii="Arial" w:cs="Arial" w:eastAsia="Arial" w:hAnsi="Arial"/>
                  <w:i/>
                  <w:iCs/>
                  <w:color w:val="1155CC"/>
                  <w:sz w:val="16"/>
                  <w:szCs w:val="16"/>
                  <w:u w:val="single"/>
                </w:rPr>
                <w:t xml:space="preserve">40 CFR 112.7(e)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Discharge notification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Procedures are in place for immediate notification of an oil discharge. Contact information for the National Response Center (1-800-424-8802), state agencies, and local responders is current and posted.</w:t>
            </w:r>
          </w:p>
          <w:p>
            <w:pPr>
              <w:spacing w:after="0" w:before="60"/>
            </w:pPr>
            <w:r>
              <w:rPr>
                <w:rFonts w:ascii="Arial" w:cs="Arial" w:eastAsia="Arial" w:hAnsi="Arial"/>
                <w:i/>
                <w:iCs/>
                <w:color w:val="888888"/>
                <w:sz w:val="16"/>
                <w:szCs w:val="16"/>
              </w:rPr>
              <w:t xml:space="preserve">» Ref: </w:t>
            </w:r>
            <w:hyperlink w:history="1" r:id="rIdajmhlpxaat4thf8i9k-qi">
              <w:r>
                <w:rPr>
                  <w:rFonts w:ascii="Arial" w:cs="Arial" w:eastAsia="Arial" w:hAnsi="Arial"/>
                  <w:i/>
                  <w:iCs/>
                  <w:color w:val="1155CC"/>
                  <w:sz w:val="16"/>
                  <w:szCs w:val="16"/>
                  <w:u w:val="single"/>
                </w:rPr>
                <w:t xml:space="preserve">40 CFR 112.7(a)(4), 40 CFR 110.6</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Personnel training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Oil handling personnel have received SPCC training. Training covers oil handling procedures, spill response, and discharge prevention. Training records are maintained and include dates, topics, and attendees.</w:t>
            </w:r>
          </w:p>
          <w:p>
            <w:pPr>
              <w:spacing w:after="0" w:before="60"/>
            </w:pPr>
            <w:r>
              <w:rPr>
                <w:rFonts w:ascii="Arial" w:cs="Arial" w:eastAsia="Arial" w:hAnsi="Arial"/>
                <w:i/>
                <w:iCs/>
                <w:color w:val="888888"/>
                <w:sz w:val="16"/>
                <w:szCs w:val="16"/>
              </w:rPr>
              <w:t xml:space="preserve">» Ref: </w:t>
            </w:r>
            <w:hyperlink w:history="1" r:id="rIdonc5ilwqhgei2l3gcifuv">
              <w:r>
                <w:rPr>
                  <w:rFonts w:ascii="Arial" w:cs="Arial" w:eastAsia="Arial" w:hAnsi="Arial"/>
                  <w:i/>
                  <w:iCs/>
                  <w:color w:val="1155CC"/>
                  <w:sz w:val="16"/>
                  <w:szCs w:val="16"/>
                  <w:u w:val="single"/>
                </w:rPr>
                <w:t xml:space="preserve">40 CFR 112.7(f)</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Facility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Physical changes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facility modifications since last plan review have been evaluated for SPCC impact. New tanks, piping changes, or operational changes are reflected in the plan. Plan amendment was completed within six months of any change.</w:t>
            </w:r>
          </w:p>
          <w:p>
            <w:pPr>
              <w:spacing w:after="0" w:before="60"/>
            </w:pPr>
            <w:r>
              <w:rPr>
                <w:rFonts w:ascii="Arial" w:cs="Arial" w:eastAsia="Arial" w:hAnsi="Arial"/>
                <w:i/>
                <w:iCs/>
                <w:color w:val="888888"/>
                <w:sz w:val="16"/>
                <w:szCs w:val="16"/>
              </w:rPr>
              <w:t xml:space="preserve">» Ref: </w:t>
            </w:r>
            <w:hyperlink w:history="1" r:id="rIdosvr8oyhca6alg9kqvq8a">
              <w:r>
                <w:rPr>
                  <w:rFonts w:ascii="Arial" w:cs="Arial" w:eastAsia="Arial" w:hAnsi="Arial"/>
                  <w:i/>
                  <w:iCs/>
                  <w:color w:val="1155CC"/>
                  <w:sz w:val="16"/>
                  <w:szCs w:val="16"/>
                  <w:u w:val="single"/>
                </w:rPr>
                <w:t xml:space="preserve">40 CFR 112.5(a)</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Spill history</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spill events have been documented and reviewed. Root cause analysis was performed for each discharge. Plan amendments address any recurring issues. Reportable spill history is included in the plan.</w:t>
            </w:r>
          </w:p>
          <w:p>
            <w:pPr>
              <w:spacing w:after="0" w:before="60"/>
            </w:pPr>
            <w:r>
              <w:rPr>
                <w:rFonts w:ascii="Arial" w:cs="Arial" w:eastAsia="Arial" w:hAnsi="Arial"/>
                <w:i/>
                <w:iCs/>
                <w:color w:val="888888"/>
                <w:sz w:val="16"/>
                <w:szCs w:val="16"/>
              </w:rPr>
              <w:t xml:space="preserve">» Ref: </w:t>
            </w:r>
            <w:hyperlink w:history="1" r:id="rIdxyzjtlk6t4rfgqfhb8znu">
              <w:r>
                <w:rPr>
                  <w:rFonts w:ascii="Arial" w:cs="Arial" w:eastAsia="Arial" w:hAnsi="Arial"/>
                  <w:i/>
                  <w:iCs/>
                  <w:color w:val="1155CC"/>
                  <w:sz w:val="16"/>
                  <w:szCs w:val="16"/>
                  <w:u w:val="single"/>
                </w:rPr>
                <w:t xml:space="preserve">40 CFR 112.7(a)(5)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Integrity testing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Bulk storage containers are on an integrity testing schedule per industry standards (API 653, STI SP001). Test results are documented and any identified deficiencies have been corrected.</w:t>
            </w:r>
          </w:p>
          <w:p>
            <w:pPr>
              <w:spacing w:after="0" w:before="60"/>
            </w:pPr>
            <w:r>
              <w:rPr>
                <w:rFonts w:ascii="Arial" w:cs="Arial" w:eastAsia="Arial" w:hAnsi="Arial"/>
                <w:i/>
                <w:iCs/>
                <w:color w:val="888888"/>
                <w:sz w:val="16"/>
                <w:szCs w:val="16"/>
              </w:rPr>
              <w:t xml:space="preserve">» Ref: </w:t>
            </w:r>
            <w:hyperlink w:history="1" r:id="rId6ukfcxs1db_ws2-vigjgf">
              <w:r>
                <w:rPr>
                  <w:rFonts w:ascii="Arial" w:cs="Arial" w:eastAsia="Arial" w:hAnsi="Arial"/>
                  <w:i/>
                  <w:iCs/>
                  <w:color w:val="1155CC"/>
                  <w:sz w:val="16"/>
                  <w:szCs w:val="16"/>
                  <w:u w:val="single"/>
                </w:rPr>
                <w:t xml:space="preserve">40 CFR 112.8(c)(6)</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Security measures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Oil storage areas have appropriate security measures including fencing, lighting, locks, and signage. Unauthorized access is prevented. Measures are documented in the plan.</w:t>
            </w:r>
          </w:p>
          <w:p>
            <w:pPr>
              <w:spacing w:after="0" w:before="60"/>
            </w:pPr>
            <w:r>
              <w:rPr>
                <w:rFonts w:ascii="Arial" w:cs="Arial" w:eastAsia="Arial" w:hAnsi="Arial"/>
                <w:i/>
                <w:iCs/>
                <w:color w:val="888888"/>
                <w:sz w:val="16"/>
                <w:szCs w:val="16"/>
              </w:rPr>
              <w:t xml:space="preserve">» Ref: </w:t>
            </w:r>
            <w:hyperlink w:history="1" r:id="rIdpfdqufyl0eefxklurnboq">
              <w:r>
                <w:rPr>
                  <w:rFonts w:ascii="Arial" w:cs="Arial" w:eastAsia="Arial" w:hAnsi="Arial"/>
                  <w:i/>
                  <w:iCs/>
                  <w:color w:val="1155CC"/>
                  <w:sz w:val="16"/>
                  <w:szCs w:val="16"/>
                  <w:u w:val="single"/>
                </w:rPr>
                <w:t xml:space="preserve">40 CFR 112.7(g)</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SPCC Program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as98uyijqixslkgkfidxr" Type="http://schemas.openxmlformats.org/officeDocument/2006/relationships/hyperlink" Target="https://www.ecfr.gov/current/title-40/chapter-I/subchapter-D/part-112" TargetMode="External"/><Relationship Id="rIdmijyovuyezdxr7fmd1ojq" Type="http://schemas.openxmlformats.org/officeDocument/2006/relationships/hyperlink" Target="https://www.ecfr.gov/current/title-40/chapter-I/subchapter-D/part-112/section-112.5" TargetMode="External"/><Relationship Id="rId7rtscszkjfplmsz08wi5_" Type="http://schemas.openxmlformats.org/officeDocument/2006/relationships/hyperlink" Target="https://www.ecfr.gov/current/title-40/chapter-I/subchapter-D/part-112/section-112.7" TargetMode="External"/><Relationship Id="rId1hh929c2c3vc1bwomgw8w" Type="http://schemas.openxmlformats.org/officeDocument/2006/relationships/hyperlink" Target="https://www.ecfr.gov/current/title-40/chapter-I/subchapter-D/part-112/section-112.20" TargetMode="External"/><Relationship Id="rIdhtooglx_a1ddifqwxvb5f" Type="http://schemas.openxmlformats.org/officeDocument/2006/relationships/hyperlink" Target="https://www.epa.gov/oil-spills-prevention-and-preparedness-regulations/spill-prevention-control-and-countermeasure-spcc" TargetMode="External"/><Relationship Id="rId9-o3ndfdl1-wdu3v706ch" Type="http://schemas.openxmlformats.org/officeDocument/2006/relationships/hyperlink" Target="https://www.epa.gov/laws-regulations/summary-clean-water-act" TargetMode="External"/><Relationship Id="rIdn2cguh-hb_vgrvoqqvno7" Type="http://schemas.openxmlformats.org/officeDocument/2006/relationships/hyperlink" Target="https://www.ecfr.gov/current/title-40/chapter-I/subchapter-D/part-112/section-112.3" TargetMode="External"/><Relationship Id="rIdak2exa2jis8nryumhetrv" Type="http://schemas.openxmlformats.org/officeDocument/2006/relationships/hyperlink" Target="https://www.ecfr.gov/current/title-40/chapter-I/subchapter-D/part-112/section-112.3" TargetMode="External"/><Relationship Id="rIdiq-qvp69iirzn6fyt6ixv" Type="http://schemas.openxmlformats.org/officeDocument/2006/relationships/hyperlink" Target="https://www.ecfr.gov/current/title-40/chapter-I/subchapter-D/part-112/section-112.5" TargetMode="External"/><Relationship Id="rIdw0mdnjovqcxbbeiovfjdm" Type="http://schemas.openxmlformats.org/officeDocument/2006/relationships/hyperlink" Target="https://www.ecfr.gov/current/title-40/chapter-I/subchapter-D/part-112/section-112.7" TargetMode="External"/><Relationship Id="rIdwyvjmls6wolrd7kucjzjf" Type="http://schemas.openxmlformats.org/officeDocument/2006/relationships/hyperlink" Target="https://www.ecfr.gov/current/title-40/chapter-I/subchapter-D/part-112/section-112.7" TargetMode="External"/><Relationship Id="rIdxt-ei5h7o5fugcxdmz9id" Type="http://schemas.openxmlformats.org/officeDocument/2006/relationships/hyperlink" Target="https://www.ecfr.gov/current/title-40/chapter-I/subchapter-D/part-112/section-112.7" TargetMode="External"/><Relationship Id="rId2s_s8tqevs3-9mnanbjx0" Type="http://schemas.openxmlformats.org/officeDocument/2006/relationships/hyperlink" Target="https://www.ecfr.gov/current/title-40/chapter-I/subchapter-D/part-112/section-112.8" TargetMode="External"/><Relationship Id="rId24caisft1jt14pq1nv9p2" Type="http://schemas.openxmlformats.org/officeDocument/2006/relationships/hyperlink" Target="https://www.ecfr.gov/current/title-40/chapter-I/subchapter-D/part-112/section-112.7" TargetMode="External"/><Relationship Id="rId4nthbbux3cpughb_yokov" Type="http://schemas.openxmlformats.org/officeDocument/2006/relationships/hyperlink" Target="https://www.ecfr.gov/current/title-40/chapter-I/subchapter-D/part-112/section-112.7" TargetMode="External"/><Relationship Id="rIdmqu_cnjqwdsrzvnxjf7ow" Type="http://schemas.openxmlformats.org/officeDocument/2006/relationships/hyperlink" Target="https://www.ecfr.gov/current/title-40/chapter-I/subchapter-D/part-112/section-112.7" TargetMode="External"/><Relationship Id="rIdajmhlpxaat4thf8i9k-qi" Type="http://schemas.openxmlformats.org/officeDocument/2006/relationships/hyperlink" Target="https://www.ecfr.gov/current/title-40/chapter-I/subchapter-D/part-112/section-112.7" TargetMode="External"/><Relationship Id="rIdonc5ilwqhgei2l3gcifuv" Type="http://schemas.openxmlformats.org/officeDocument/2006/relationships/hyperlink" Target="https://www.ecfr.gov/current/title-40/chapter-I/subchapter-D/part-112/section-112.7" TargetMode="External"/><Relationship Id="rIdosvr8oyhca6alg9kqvq8a" Type="http://schemas.openxmlformats.org/officeDocument/2006/relationships/hyperlink" Target="https://www.ecfr.gov/current/title-40/chapter-I/subchapter-D/part-112/section-112.5" TargetMode="External"/><Relationship Id="rIdxyzjtlk6t4rfgqfhb8znu" Type="http://schemas.openxmlformats.org/officeDocument/2006/relationships/hyperlink" Target="https://www.ecfr.gov/current/title-40/chapter-I/subchapter-D/part-112/section-112.7" TargetMode="External"/><Relationship Id="rId6ukfcxs1db_ws2-vigjgf" Type="http://schemas.openxmlformats.org/officeDocument/2006/relationships/hyperlink" Target="https://www.ecfr.gov/current/title-40/chapter-I/subchapter-D/part-112/section-112.8" TargetMode="External"/><Relationship Id="rIdpfdqufyl0eefxklurnboq" Type="http://schemas.openxmlformats.org/officeDocument/2006/relationships/hyperlink" Target="https://www.ecfr.gov/current/title-40/chapter-I/subchapter-D/part-112/section-112.7" TargetMode="External"/><Relationship Id="rId3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2026-03-01T15:37:01.470Z</dcterms:created>
  <dcterms:modified xsi:type="dcterms:W3CDTF">2026-03-01T15:37:01.471Z</dcterms:modified>
</cp:coreProperties>
</file>

<file path=docProps/custom.xml><?xml version="1.0" encoding="utf-8"?>
<Properties xmlns="http://schemas.openxmlformats.org/officeDocument/2006/custom-properties" xmlns:vt="http://schemas.openxmlformats.org/officeDocument/2006/docPropsVTypes"/>
</file>