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Stormwater BMP Inspection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Per NPDES Permit and SWPPP Requirements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Facility / Site Name: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NPDES Permit #: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Weather Conditions: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Inspection Type: </w:t>
      </w:r>
      <w:r>
        <w:rPr>
          <w:rFonts w:ascii="Arial" w:cs="Arial" w:eastAsia="Arial" w:hAnsi="Arial"/>
          <w:sz w:val="20"/>
          <w:szCs w:val="20"/>
        </w:rPr>
        <w:t xml:space="preserve">Routine / Post-Storm / Quarterly / Annual</w:t>
      </w:r>
    </w:p>
    <w:p>
      <w:pPr>
        <w:spacing w:before="60"/>
      </w:pP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Erosion &amp; Sediment Controls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Silt fences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Fabric intact, no tears/gaps/undermining. Posts anchored. Sediment below 1/3 height. No bypass flow around ends.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Sediment basins/traps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Below 50% sediment capacity. Outlet functioning. Embankment stable. Emergency spillway clear. No oil sheen.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Inlet protection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Storm drain protection in place. No bypass flow. Sediment not blocking &gt;25% capacity. Devices anchored.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Stabilized entrances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Aggregate/paving intact. No sediment tracking onto public roads. Entrance draining back into site.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Slope stabilization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Seeding/mulching applied per schedule. Erosion blankets anchored. No rills or gullies forming. Stockpiles covered.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Good Housekeeping &amp; Material Management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Material storage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Chemicals/fuels covered. Secondary containment in place. No leaks/spills. Materials away from storm drains.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Waste management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Dumpsters closed/covered. No overflow. Debris contained. Washout areas properly contained.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Vehicle/equipment areas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Designated fueling areas with spill controls. Drip pans under leakers. No stains on ground.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Outfall monitoring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outfalls accessible. No unauthorized discharges. No sheen/discoloration/foam/odor. Structures intact.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Spill prevention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Spill kits available near storage. Response plan posted. Employees trained. Spill history log current.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Structural BMPs &amp; Post-Construction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Detention/retention ponds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Embankment stable. Outlet functioning. Trash racks clear. Vegetation maintained. Sediment below design limit.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Bioswales/channels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Channel dimensions maintained. Vegetation healthy. Check dams intact. No sediment impeding flow.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Infiltration practices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Draining within design drawdown time. No standing water beyond retention period. Pretreatment functioning.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Manufactured devices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Separators/filters inspected per schedule. No bypass during design storms. Media replaced at intervals.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Conveyance systems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Channels/ditches clear. Pipe inlets/outlets clear. Riprap stable. Culverts flowing freely.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NPDES permit violations can result in Clean Water Act penalties up to $64,618 per day per violation. All BMP deficiencies must be corrected within timeframes specified in the permit. Document all corrective actions and update the SWPPP.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180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Inspector: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Stormwater Program Manager: ____________________________    Date: ______________    Signature: ____________________________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2026-02-23T01:54:10.987Z</dcterms:created>
  <dcterms:modified xsi:type="dcterms:W3CDTF">2026-02-23T01:54:10.987Z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