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Stormwater/SWPPP Program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ilia-igpntvk063iuweqt">
              <w:r>
                <w:rPr>
                  <w:rStyle w:val="Hyperlink"/>
                  <w:rFonts w:ascii="Arial" w:cs="Arial" w:eastAsia="Arial" w:hAnsi="Arial"/>
                  <w:color w:val="1155CC"/>
                  <w:sz w:val="19"/>
                  <w:szCs w:val="19"/>
                  <w:u w:val="single"/>
                </w:rPr>
                <w:t xml:space="preserve">Clean Water Act Section 402 — NPDES Permit Program</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nfennqwhzlkrjmwtrftiu">
              <w:r>
                <w:rPr>
                  <w:rStyle w:val="Hyperlink"/>
                  <w:rFonts w:ascii="Arial" w:cs="Arial" w:eastAsia="Arial" w:hAnsi="Arial"/>
                  <w:color w:val="1155CC"/>
                  <w:sz w:val="19"/>
                  <w:szCs w:val="19"/>
                  <w:u w:val="single"/>
                </w:rPr>
                <w:t xml:space="preserve">EPA Multi-Sector General Permit (MSGP) for Industrial Stormwater</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goqbcnifxcfiq6vvutx1j">
              <w:r>
                <w:rPr>
                  <w:rStyle w:val="Hyperlink"/>
                  <w:rFonts w:ascii="Arial" w:cs="Arial" w:eastAsia="Arial" w:hAnsi="Arial"/>
                  <w:color w:val="1155CC"/>
                  <w:sz w:val="19"/>
                  <w:szCs w:val="19"/>
                  <w:u w:val="single"/>
                </w:rPr>
                <w:t xml:space="preserve">40 CFR Part 122 — EPA Administered Permit Programs: NPDES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qsuzawm6t2ltnvlkbd7td">
              <w:r>
                <w:rPr>
                  <w:rStyle w:val="Hyperlink"/>
                  <w:rFonts w:ascii="Arial" w:cs="Arial" w:eastAsia="Arial" w:hAnsi="Arial"/>
                  <w:color w:val="1155CC"/>
                  <w:sz w:val="19"/>
                  <w:szCs w:val="19"/>
                  <w:u w:val="single"/>
                </w:rPr>
                <w:t xml:space="preserve">EPA Industrial Stormwater Monitoring and Sampling Guide</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dlnugholhr5xkmlm7eymg">
              <w:r>
                <w:rPr>
                  <w:rStyle w:val="Hyperlink"/>
                  <w:rFonts w:ascii="Arial" w:cs="Arial" w:eastAsia="Arial" w:hAnsi="Arial"/>
                  <w:color w:val="1155CC"/>
                  <w:sz w:val="19"/>
                  <w:szCs w:val="19"/>
                  <w:u w:val="single"/>
                </w:rPr>
                <w:t xml:space="preserve">EPA Construction General Permit (CGP)</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9smb_jowmzlebq4ccwlzx">
              <w:r>
                <w:rPr>
                  <w:rStyle w:val="Hyperlink"/>
                  <w:rFonts w:ascii="Arial" w:cs="Arial" w:eastAsia="Arial" w:hAnsi="Arial"/>
                  <w:color w:val="1155CC"/>
                  <w:sz w:val="19"/>
                  <w:szCs w:val="19"/>
                  <w:u w:val="single"/>
                </w:rPr>
                <w:t xml:space="preserve">EPA Stormwater Best Management Practices</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SWPPP Documentation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Plan availability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Current SWPPP is maintained on-site and available for review by regulatory inspectors. Plan is accessible to all facility personnel involved in stormwater management. Electronic or hard copy is available at all times.</w:t>
            </w:r>
          </w:p>
          <w:p>
            <w:pPr>
              <w:spacing w:after="0" w:before="60"/>
            </w:pPr>
            <w:r>
              <w:rPr>
                <w:rFonts w:ascii="Arial" w:cs="Arial" w:eastAsia="Arial" w:hAnsi="Arial"/>
                <w:i/>
                <w:iCs/>
                <w:color w:val="888888"/>
                <w:sz w:val="16"/>
                <w:szCs w:val="16"/>
              </w:rPr>
              <w:t xml:space="preserve">» Ref: </w:t>
            </w:r>
            <w:hyperlink w:history="1" r:id="rIdl2xmxbvppq8li4gf91f_x">
              <w:r>
                <w:rPr>
                  <w:rFonts w:ascii="Arial" w:cs="Arial" w:eastAsia="Arial" w:hAnsi="Arial"/>
                  <w:i/>
                  <w:iCs/>
                  <w:color w:val="1155CC"/>
                  <w:sz w:val="16"/>
                  <w:szCs w:val="16"/>
                  <w:u w:val="single"/>
                </w:rPr>
                <w:t xml:space="preserve">MSGP Part 5.1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Permit coverage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Facility has active NPDES permit coverage (general or individual permit). Notice of Intent (NOI) was submitted and acknowledged. Permit number is documented. Permit renewal dates are tracked.</w:t>
            </w:r>
          </w:p>
          <w:p>
            <w:pPr>
              <w:spacing w:after="0" w:before="60"/>
            </w:pPr>
            <w:r>
              <w:rPr>
                <w:rFonts w:ascii="Arial" w:cs="Arial" w:eastAsia="Arial" w:hAnsi="Arial"/>
                <w:i/>
                <w:iCs/>
                <w:color w:val="888888"/>
                <w:sz w:val="16"/>
                <w:szCs w:val="16"/>
              </w:rPr>
              <w:t xml:space="preserve">» Ref: </w:t>
            </w:r>
            <w:hyperlink w:history="1" r:id="rIddunsascbngmufocbmnkke">
              <w:r>
                <w:rPr>
                  <w:rFonts w:ascii="Arial" w:cs="Arial" w:eastAsia="Arial" w:hAnsi="Arial"/>
                  <w:i/>
                  <w:iCs/>
                  <w:color w:val="1155CC"/>
                  <w:sz w:val="16"/>
                  <w:szCs w:val="16"/>
                  <w:u w:val="single"/>
                </w:rPr>
                <w:t xml:space="preserve">CWA §402, 40 CFR 122.26</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Site map</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SWPPP includes a current site map showing buildings, paved areas, drainage patterns, outfall locations, sampling points, structural BMPs, and receiving waters. Map reflects current facility layout and any recent modifications.</w:t>
            </w:r>
          </w:p>
          <w:p>
            <w:pPr>
              <w:spacing w:after="0" w:before="60"/>
            </w:pPr>
            <w:r>
              <w:rPr>
                <w:rFonts w:ascii="Arial" w:cs="Arial" w:eastAsia="Arial" w:hAnsi="Arial"/>
                <w:i/>
                <w:iCs/>
                <w:color w:val="888888"/>
                <w:sz w:val="16"/>
                <w:szCs w:val="16"/>
              </w:rPr>
              <w:t xml:space="preserve">» Ref: </w:t>
            </w:r>
            <w:hyperlink w:history="1" r:id="rIdm_gamxet6kfqxep8prih8">
              <w:r>
                <w:rPr>
                  <w:rFonts w:ascii="Arial" w:cs="Arial" w:eastAsia="Arial" w:hAnsi="Arial"/>
                  <w:i/>
                  <w:iCs/>
                  <w:color w:val="1155CC"/>
                  <w:sz w:val="16"/>
                  <w:szCs w:val="16"/>
                  <w:u w:val="single"/>
                </w:rPr>
                <w:t xml:space="preserve">MSGP Part 5.2.3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Pollution sources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potential sources of stormwater pollution are identified and documented including material storage areas, loading/unloading areas, outdoor process areas, waste management areas, and vehicle maintenance areas.</w:t>
            </w:r>
          </w:p>
          <w:p>
            <w:pPr>
              <w:spacing w:after="0" w:before="60"/>
            </w:pPr>
            <w:r>
              <w:rPr>
                <w:rFonts w:ascii="Arial" w:cs="Arial" w:eastAsia="Arial" w:hAnsi="Arial"/>
                <w:i/>
                <w:iCs/>
                <w:color w:val="888888"/>
                <w:sz w:val="16"/>
                <w:szCs w:val="16"/>
              </w:rPr>
              <w:t xml:space="preserve">» Ref: </w:t>
            </w:r>
            <w:hyperlink w:history="1" r:id="rId7sqexplip2ruc2pxsx03f">
              <w:r>
                <w:rPr>
                  <w:rFonts w:ascii="Arial" w:cs="Arial" w:eastAsia="Arial" w:hAnsi="Arial"/>
                  <w:i/>
                  <w:iCs/>
                  <w:color w:val="1155CC"/>
                  <w:sz w:val="16"/>
                  <w:szCs w:val="16"/>
                  <w:u w:val="single"/>
                </w:rPr>
                <w:t xml:space="preserve">MSGP Part 5.2.4</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BMP selection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BMPs are identified for each potential pollution source. Both structural and non-structural BMPs are documented. BMPs are appropriate for the identified pollutant sources and site conditions.</w:t>
            </w:r>
          </w:p>
          <w:p>
            <w:pPr>
              <w:spacing w:after="0" w:before="60"/>
            </w:pPr>
            <w:r>
              <w:rPr>
                <w:rFonts w:ascii="Arial" w:cs="Arial" w:eastAsia="Arial" w:hAnsi="Arial"/>
                <w:i/>
                <w:iCs/>
                <w:color w:val="888888"/>
                <w:sz w:val="16"/>
                <w:szCs w:val="16"/>
              </w:rPr>
              <w:t xml:space="preserve">» Ref: </w:t>
            </w:r>
            <w:hyperlink w:history="1" r:id="rIdgv1vmclnr9epkqb9idmia">
              <w:r>
                <w:rPr>
                  <w:rFonts w:ascii="Arial" w:cs="Arial" w:eastAsia="Arial" w:hAnsi="Arial"/>
                  <w:i/>
                  <w:iCs/>
                  <w:color w:val="1155CC"/>
                  <w:sz w:val="16"/>
                  <w:szCs w:val="16"/>
                  <w:u w:val="single"/>
                </w:rPr>
                <w:t xml:space="preserve">MSGP Part 5.2.5</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Monitoring and Sampling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Quarterly visual monitoring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Visual monitoring of stormwater discharges is conducted quarterly during qualifying storm events. Observations are documented including color, odor, clarity, floating solids, foam, and oil sheen. Results are retained for at least three years.</w:t>
            </w:r>
          </w:p>
          <w:p>
            <w:pPr>
              <w:spacing w:after="0" w:before="60"/>
            </w:pPr>
            <w:r>
              <w:rPr>
                <w:rFonts w:ascii="Arial" w:cs="Arial" w:eastAsia="Arial" w:hAnsi="Arial"/>
                <w:i/>
                <w:iCs/>
                <w:color w:val="888888"/>
                <w:sz w:val="16"/>
                <w:szCs w:val="16"/>
              </w:rPr>
              <w:t xml:space="preserve">» Ref: </w:t>
            </w:r>
            <w:hyperlink w:history="1" r:id="rIdizjjy9i5i4xjaqo9ck-zk">
              <w:r>
                <w:rPr>
                  <w:rFonts w:ascii="Arial" w:cs="Arial" w:eastAsia="Arial" w:hAnsi="Arial"/>
                  <w:i/>
                  <w:iCs/>
                  <w:color w:val="1155CC"/>
                  <w:sz w:val="16"/>
                  <w:szCs w:val="16"/>
                  <w:u w:val="single"/>
                </w:rPr>
                <w:t xml:space="preserve">MSGP Part 3.1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Benchmark monitoring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Benchmark monitoring is conducted for applicable parameters per permit sector requirements. Sampling is performed within the first 30 minutes of discharge (or as soon as practicable). Laboratory analysis uses approved methods.</w:t>
            </w:r>
          </w:p>
          <w:p>
            <w:pPr>
              <w:spacing w:after="0" w:before="60"/>
            </w:pPr>
            <w:r>
              <w:rPr>
                <w:rFonts w:ascii="Arial" w:cs="Arial" w:eastAsia="Arial" w:hAnsi="Arial"/>
                <w:i/>
                <w:iCs/>
                <w:color w:val="888888"/>
                <w:sz w:val="16"/>
                <w:szCs w:val="16"/>
              </w:rPr>
              <w:t xml:space="preserve">» Ref: </w:t>
            </w:r>
            <w:hyperlink w:history="1" r:id="rIdj-f8wq2yrfl4ttelgolp2">
              <w:r>
                <w:rPr>
                  <w:rFonts w:ascii="Arial" w:cs="Arial" w:eastAsia="Arial" w:hAnsi="Arial"/>
                  <w:i/>
                  <w:iCs/>
                  <w:color w:val="1155CC"/>
                  <w:sz w:val="16"/>
                  <w:szCs w:val="16"/>
                  <w:u w:val="single"/>
                </w:rPr>
                <w:t xml:space="preserve">MSGP Part 3.2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Effluent limit monitoring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Effluent limit monitoring is conducted at required frequency for applicable parameters. Results are compared against numeric limits. Exceedances trigger corrective action and reporting requirements.</w:t>
            </w:r>
          </w:p>
          <w:p>
            <w:pPr>
              <w:spacing w:after="0" w:before="60"/>
            </w:pPr>
            <w:r>
              <w:rPr>
                <w:rFonts w:ascii="Arial" w:cs="Arial" w:eastAsia="Arial" w:hAnsi="Arial"/>
                <w:i/>
                <w:iCs/>
                <w:color w:val="888888"/>
                <w:sz w:val="16"/>
                <w:szCs w:val="16"/>
              </w:rPr>
              <w:t xml:space="preserve">» Ref: </w:t>
            </w:r>
            <w:hyperlink w:history="1" r:id="rId02jhivvphf7o6sj2rretp">
              <w:r>
                <w:rPr>
                  <w:rFonts w:ascii="Arial" w:cs="Arial" w:eastAsia="Arial" w:hAnsi="Arial"/>
                  <w:i/>
                  <w:iCs/>
                  <w:color w:val="1155CC"/>
                  <w:sz w:val="16"/>
                  <w:szCs w:val="16"/>
                  <w:u w:val="single"/>
                </w:rPr>
                <w:t xml:space="preserve">MSGP Part 3.3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Annual comprehensive evaluation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Annual comprehensive site compliance evaluation is performed as required by permit. Evaluation covers all aspects of the SWPPP including BMP effectiveness, monitoring results, and potential plan modifications.</w:t>
            </w:r>
          </w:p>
          <w:p>
            <w:pPr>
              <w:spacing w:after="0" w:before="60"/>
            </w:pPr>
            <w:r>
              <w:rPr>
                <w:rFonts w:ascii="Arial" w:cs="Arial" w:eastAsia="Arial" w:hAnsi="Arial"/>
                <w:i/>
                <w:iCs/>
                <w:color w:val="888888"/>
                <w:sz w:val="16"/>
                <w:szCs w:val="16"/>
              </w:rPr>
              <w:t xml:space="preserve">» Ref: </w:t>
            </w:r>
            <w:hyperlink w:history="1" r:id="rIdej3roqa40ywvousyhw0dw">
              <w:r>
                <w:rPr>
                  <w:rFonts w:ascii="Arial" w:cs="Arial" w:eastAsia="Arial" w:hAnsi="Arial"/>
                  <w:i/>
                  <w:iCs/>
                  <w:color w:val="1155CC"/>
                  <w:sz w:val="16"/>
                  <w:szCs w:val="16"/>
                  <w:u w:val="single"/>
                </w:rPr>
                <w:t xml:space="preserve">MSGP Part 4.3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BMPs and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Good housekeeping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Facility maintains clean and orderly conditions. Material storage areas are organized and contained. Spills are cleaned promptly. Outdoor areas are swept or cleaned regularly. Waste receptacles are covered.</w:t>
            </w:r>
          </w:p>
          <w:p>
            <w:pPr>
              <w:spacing w:after="0" w:before="60"/>
            </w:pPr>
            <w:r>
              <w:rPr>
                <w:rFonts w:ascii="Arial" w:cs="Arial" w:eastAsia="Arial" w:hAnsi="Arial"/>
                <w:i/>
                <w:iCs/>
                <w:color w:val="888888"/>
                <w:sz w:val="16"/>
                <w:szCs w:val="16"/>
              </w:rPr>
              <w:t xml:space="preserve">» Ref: </w:t>
            </w:r>
            <w:hyperlink w:history="1" r:id="rIdkqpyrez0e64g5em4rq_ii">
              <w:r>
                <w:rPr>
                  <w:rFonts w:ascii="Arial" w:cs="Arial" w:eastAsia="Arial" w:hAnsi="Arial"/>
                  <w:i/>
                  <w:iCs/>
                  <w:color w:val="1155CC"/>
                  <w:sz w:val="16"/>
                  <w:szCs w:val="16"/>
                  <w:u w:val="single"/>
                </w:rPr>
                <w:t xml:space="preserve">MSGP Part 2.1.2.2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Structural BMPs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structural BMPs (detention ponds, oil/water separators, filter systems, etc.) are installed as described in the SWPPP. BMPs are maintained and functioning as designed. Maintenance records are current.</w:t>
            </w:r>
          </w:p>
          <w:p>
            <w:pPr>
              <w:spacing w:after="0" w:before="60"/>
            </w:pPr>
            <w:r>
              <w:rPr>
                <w:rFonts w:ascii="Arial" w:cs="Arial" w:eastAsia="Arial" w:hAnsi="Arial"/>
                <w:i/>
                <w:iCs/>
                <w:color w:val="888888"/>
                <w:sz w:val="16"/>
                <w:szCs w:val="16"/>
              </w:rPr>
              <w:t xml:space="preserve">» Ref: </w:t>
            </w:r>
            <w:hyperlink w:history="1" r:id="rIdr717k6ym4q4atomlrhokc">
              <w:r>
                <w:rPr>
                  <w:rFonts w:ascii="Arial" w:cs="Arial" w:eastAsia="Arial" w:hAnsi="Arial"/>
                  <w:i/>
                  <w:iCs/>
                  <w:color w:val="1155CC"/>
                  <w:sz w:val="16"/>
                  <w:szCs w:val="16"/>
                  <w:u w:val="single"/>
                </w:rPr>
                <w:t xml:space="preserve">MSGP Part 2.1.2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Material management</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Hazardous materials and chemicals are properly stored with cover and containment. Material Safety Data Sheets are available. Inventory of outdoor-stored materials is current. Spill response materials are available.</w:t>
            </w:r>
          </w:p>
          <w:p>
            <w:pPr>
              <w:spacing w:after="0" w:before="60"/>
            </w:pPr>
            <w:r>
              <w:rPr>
                <w:rFonts w:ascii="Arial" w:cs="Arial" w:eastAsia="Arial" w:hAnsi="Arial"/>
                <w:i/>
                <w:iCs/>
                <w:color w:val="888888"/>
                <w:sz w:val="16"/>
                <w:szCs w:val="16"/>
              </w:rPr>
              <w:t xml:space="preserve">» Ref: </w:t>
            </w:r>
            <w:hyperlink w:history="1" r:id="rIdirtx996v6vyekdgbfdca6">
              <w:r>
                <w:rPr>
                  <w:rFonts w:ascii="Arial" w:cs="Arial" w:eastAsia="Arial" w:hAnsi="Arial"/>
                  <w:i/>
                  <w:iCs/>
                  <w:color w:val="1155CC"/>
                  <w:sz w:val="16"/>
                  <w:szCs w:val="16"/>
                  <w:u w:val="single"/>
                </w:rPr>
                <w:t xml:space="preserve">MSGP Part 2.1.2.4</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Vehicle/equipment areas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Vehicle maintenance areas have spill containment. Fueling areas have spill prevention measures. Equipment wash areas drain to proper treatment. No illicit discharges from vehicle operations.</w:t>
            </w:r>
          </w:p>
          <w:p>
            <w:pPr>
              <w:spacing w:after="0" w:before="60"/>
            </w:pPr>
            <w:r>
              <w:rPr>
                <w:rFonts w:ascii="Arial" w:cs="Arial" w:eastAsia="Arial" w:hAnsi="Arial"/>
                <w:i/>
                <w:iCs/>
                <w:color w:val="888888"/>
                <w:sz w:val="16"/>
                <w:szCs w:val="16"/>
              </w:rPr>
              <w:t xml:space="preserve">» Ref: </w:t>
            </w:r>
            <w:hyperlink w:history="1" r:id="rIdecpk8yomfxige1ib4kymy">
              <w:r>
                <w:rPr>
                  <w:rFonts w:ascii="Arial" w:cs="Arial" w:eastAsia="Arial" w:hAnsi="Arial"/>
                  <w:i/>
                  <w:iCs/>
                  <w:color w:val="1155CC"/>
                  <w:sz w:val="16"/>
                  <w:szCs w:val="16"/>
                  <w:u w:val="single"/>
                </w:rPr>
                <w:t xml:space="preserve">MSGP Part 2.1.2.5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Reporting and Recordkeeping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Annual report</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Annual report is submitted to the permitting authority by the required deadline. Report covers monitoring results, BMP assessments, and any corrective actions taken during the reporting period.</w:t>
            </w:r>
          </w:p>
          <w:p>
            <w:pPr>
              <w:spacing w:after="0" w:before="60"/>
            </w:pPr>
            <w:r>
              <w:rPr>
                <w:rFonts w:ascii="Arial" w:cs="Arial" w:eastAsia="Arial" w:hAnsi="Arial"/>
                <w:i/>
                <w:iCs/>
                <w:color w:val="888888"/>
                <w:sz w:val="16"/>
                <w:szCs w:val="16"/>
              </w:rPr>
              <w:t xml:space="preserve">» Ref: </w:t>
            </w:r>
            <w:hyperlink w:history="1" r:id="rIdgjehe4rxbyrtlfjceq7rs">
              <w:r>
                <w:rPr>
                  <w:rFonts w:ascii="Arial" w:cs="Arial" w:eastAsia="Arial" w:hAnsi="Arial"/>
                  <w:i/>
                  <w:iCs/>
                  <w:color w:val="1155CC"/>
                  <w:sz w:val="16"/>
                  <w:szCs w:val="16"/>
                  <w:u w:val="single"/>
                </w:rPr>
                <w:t xml:space="preserve">MSGP Part 7.1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Record retention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monitoring data, inspection records, and SWPPP amendments are retained for at least three years (or longer per state requirements). Records are organized and accessible for audits or inspections.</w:t>
            </w:r>
          </w:p>
          <w:p>
            <w:pPr>
              <w:spacing w:after="0" w:before="60"/>
            </w:pPr>
            <w:r>
              <w:rPr>
                <w:rFonts w:ascii="Arial" w:cs="Arial" w:eastAsia="Arial" w:hAnsi="Arial"/>
                <w:i/>
                <w:iCs/>
                <w:color w:val="888888"/>
                <w:sz w:val="16"/>
                <w:szCs w:val="16"/>
              </w:rPr>
              <w:t xml:space="preserve">» Ref: </w:t>
            </w:r>
            <w:hyperlink w:history="1" r:id="rIdjndssid_6uj2tyzslxnwj">
              <w:r>
                <w:rPr>
                  <w:rFonts w:ascii="Arial" w:cs="Arial" w:eastAsia="Arial" w:hAnsi="Arial"/>
                  <w:i/>
                  <w:iCs/>
                  <w:color w:val="1155CC"/>
                  <w:sz w:val="16"/>
                  <w:szCs w:val="16"/>
                  <w:u w:val="single"/>
                </w:rPr>
                <w:t xml:space="preserve">MSGP Part 7.4, 40 CFR 122.41(j)</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SWPPP amendments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SWPPP is amended when changes occur at the facility that affect stormwater management. Amendments are documented with dates and descriptions. Personnel are notified of SWPPP changes.</w:t>
            </w:r>
          </w:p>
          <w:p>
            <w:pPr>
              <w:spacing w:after="0" w:before="60"/>
            </w:pPr>
            <w:r>
              <w:rPr>
                <w:rFonts w:ascii="Arial" w:cs="Arial" w:eastAsia="Arial" w:hAnsi="Arial"/>
                <w:i/>
                <w:iCs/>
                <w:color w:val="888888"/>
                <w:sz w:val="16"/>
                <w:szCs w:val="16"/>
              </w:rPr>
              <w:t xml:space="preserve">» Ref: </w:t>
            </w:r>
            <w:hyperlink w:history="1" r:id="rIdoo-0t3a-xav5wvbm089vc">
              <w:r>
                <w:rPr>
                  <w:rFonts w:ascii="Arial" w:cs="Arial" w:eastAsia="Arial" w:hAnsi="Arial"/>
                  <w:i/>
                  <w:iCs/>
                  <w:color w:val="1155CC"/>
                  <w:sz w:val="16"/>
                  <w:szCs w:val="16"/>
                  <w:u w:val="single"/>
                </w:rPr>
                <w:t xml:space="preserve">MSGP Part 5.3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Training records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personnel involved in stormwater management have received initial and annual training. Training covers the SWPPP, BMPs, good housekeeping, and spill response. Attendance records are maintained.</w:t>
            </w:r>
          </w:p>
          <w:p>
            <w:pPr>
              <w:spacing w:after="0" w:before="60"/>
            </w:pPr>
            <w:r>
              <w:rPr>
                <w:rFonts w:ascii="Arial" w:cs="Arial" w:eastAsia="Arial" w:hAnsi="Arial"/>
                <w:i/>
                <w:iCs/>
                <w:color w:val="888888"/>
                <w:sz w:val="16"/>
                <w:szCs w:val="16"/>
              </w:rPr>
              <w:t xml:space="preserve">» Ref: </w:t>
            </w:r>
            <w:hyperlink w:history="1" r:id="rId3-4mh3cjxnuq4cjwvt11h">
              <w:r>
                <w:rPr>
                  <w:rFonts w:ascii="Arial" w:cs="Arial" w:eastAsia="Arial" w:hAnsi="Arial"/>
                  <w:i/>
                  <w:iCs/>
                  <w:color w:val="1155CC"/>
                  <w:sz w:val="16"/>
                  <w:szCs w:val="16"/>
                  <w:u w:val="single"/>
                </w:rPr>
                <w:t xml:space="preserve">MSGP Part 2.1.2.8</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Stormwater/SWPPP Program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ilia-igpntvk063iuweqt" Type="http://schemas.openxmlformats.org/officeDocument/2006/relationships/hyperlink" Target="https://www.epa.gov/npdes" TargetMode="External"/><Relationship Id="rIdnfennqwhzlkrjmwtrftiu" Type="http://schemas.openxmlformats.org/officeDocument/2006/relationships/hyperlink" Target="https://www.epa.gov/npdes/stormwater-discharges-industrial-activities-702702" TargetMode="External"/><Relationship Id="rIdgoqbcnifxcfiq6vvutx1j" Type="http://schemas.openxmlformats.org/officeDocument/2006/relationships/hyperlink" Target="https://www.ecfr.gov/current/title-40/chapter-I/subchapter-D/part-122" TargetMode="External"/><Relationship Id="rIdqsuzawm6t2ltnvlkbd7td" Type="http://schemas.openxmlformats.org/officeDocument/2006/relationships/hyperlink" Target="https://www.epa.gov/npdes/industrial-stormwater-monitoring-and-sampling-guide" TargetMode="External"/><Relationship Id="rIddlnugholhr5xkmlm7eymg" Type="http://schemas.openxmlformats.org/officeDocument/2006/relationships/hyperlink" Target="https://www.epa.gov/npdes/stormwater-discharges-construction-activities" TargetMode="External"/><Relationship Id="rId9smb_jowmzlebq4ccwlzx" Type="http://schemas.openxmlformats.org/officeDocument/2006/relationships/hyperlink" Target="https://www.epa.gov/npdes/national-menu-best-management-practices-bmps-stormwater" TargetMode="External"/><Relationship Id="rIdl2xmxbvppq8li4gf91f_x" Type="http://schemas.openxmlformats.org/officeDocument/2006/relationships/hyperlink" Target="https://www.epa.gov/npdes/stormwater-discharges-industrial-activities-702702" TargetMode="External"/><Relationship Id="rIddunsascbngmufocbmnkke" Type="http://schemas.openxmlformats.org/officeDocument/2006/relationships/hyperlink" Target="https://www.ecfr.gov/current/title-40/chapter-I/subchapter-D/part-122/subpart-B/section-122.26" TargetMode="External"/><Relationship Id="rIdm_gamxet6kfqxep8prih8" Type="http://schemas.openxmlformats.org/officeDocument/2006/relationships/hyperlink" Target="https://www.epa.gov/npdes/stormwater-discharges-industrial-activities-702702" TargetMode="External"/><Relationship Id="rId7sqexplip2ruc2pxsx03f" Type="http://schemas.openxmlformats.org/officeDocument/2006/relationships/hyperlink" Target="https://www.epa.gov/npdes/stormwater-discharges-industrial-activities-702702" TargetMode="External"/><Relationship Id="rIdgv1vmclnr9epkqb9idmia" Type="http://schemas.openxmlformats.org/officeDocument/2006/relationships/hyperlink" Target="https://www.epa.gov/npdes/stormwater-discharges-industrial-activities-702702" TargetMode="External"/><Relationship Id="rIdizjjy9i5i4xjaqo9ck-zk" Type="http://schemas.openxmlformats.org/officeDocument/2006/relationships/hyperlink" Target="https://www.epa.gov/npdes/stormwater-discharges-industrial-activities-702702" TargetMode="External"/><Relationship Id="rIdj-f8wq2yrfl4ttelgolp2" Type="http://schemas.openxmlformats.org/officeDocument/2006/relationships/hyperlink" Target="https://www.epa.gov/npdes/stormwater-discharges-industrial-activities-702702" TargetMode="External"/><Relationship Id="rId02jhivvphf7o6sj2rretp" Type="http://schemas.openxmlformats.org/officeDocument/2006/relationships/hyperlink" Target="https://www.epa.gov/npdes/stormwater-discharges-industrial-activities-702702" TargetMode="External"/><Relationship Id="rIdej3roqa40ywvousyhw0dw" Type="http://schemas.openxmlformats.org/officeDocument/2006/relationships/hyperlink" Target="https://www.epa.gov/npdes/stormwater-discharges-industrial-activities-702702" TargetMode="External"/><Relationship Id="rIdkqpyrez0e64g5em4rq_ii" Type="http://schemas.openxmlformats.org/officeDocument/2006/relationships/hyperlink" Target="https://www.epa.gov/npdes/stormwater-discharges-industrial-activities-702702" TargetMode="External"/><Relationship Id="rIdr717k6ym4q4atomlrhokc" Type="http://schemas.openxmlformats.org/officeDocument/2006/relationships/hyperlink" Target="https://www.epa.gov/npdes/stormwater-discharges-industrial-activities-702702" TargetMode="External"/><Relationship Id="rIdirtx996v6vyekdgbfdca6" Type="http://schemas.openxmlformats.org/officeDocument/2006/relationships/hyperlink" Target="https://www.epa.gov/npdes/stormwater-discharges-industrial-activities-702702" TargetMode="External"/><Relationship Id="rIdecpk8yomfxige1ib4kymy" Type="http://schemas.openxmlformats.org/officeDocument/2006/relationships/hyperlink" Target="https://www.epa.gov/npdes/stormwater-discharges-industrial-activities-702702" TargetMode="External"/><Relationship Id="rIdgjehe4rxbyrtlfjceq7rs" Type="http://schemas.openxmlformats.org/officeDocument/2006/relationships/hyperlink" Target="https://www.epa.gov/npdes/stormwater-discharges-industrial-activities-702702" TargetMode="External"/><Relationship Id="rIdjndssid_6uj2tyzslxnwj" Type="http://schemas.openxmlformats.org/officeDocument/2006/relationships/hyperlink" Target="https://www.ecfr.gov/current/title-40/chapter-I/subchapter-D/part-122/subpart-C/section-122.41" TargetMode="External"/><Relationship Id="rIdoo-0t3a-xav5wvbm089vc" Type="http://schemas.openxmlformats.org/officeDocument/2006/relationships/hyperlink" Target="https://www.epa.gov/npdes/stormwater-discharges-industrial-activities-702702" TargetMode="External"/><Relationship Id="rId3-4mh3cjxnuq4cjwvt11h" Type="http://schemas.openxmlformats.org/officeDocument/2006/relationships/hyperlink" Target="https://www.epa.gov/npdes/stormwater-discharges-industrial-activities-702702" TargetMode="External"/><Relationship Id="rId3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2026-03-01T15:37:01.817Z</dcterms:created>
  <dcterms:modified xsi:type="dcterms:W3CDTF">2026-03-01T15:37:01.817Z</dcterms:modified>
</cp:coreProperties>
</file>

<file path=docProps/custom.xml><?xml version="1.0" encoding="utf-8"?>
<Properties xmlns="http://schemas.openxmlformats.org/officeDocument/2006/custom-properties" xmlns:vt="http://schemas.openxmlformats.org/officeDocument/2006/docPropsVTypes"/>
</file>