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Subpart W GHG Reporting Program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8gdsv3mohdb37tyeohul-">
              <w:r>
                <w:rPr>
                  <w:rStyle w:val="Hyperlink"/>
                  <w:rFonts w:ascii="Arial" w:cs="Arial" w:eastAsia="Arial" w:hAnsi="Arial"/>
                  <w:color w:val="1155CC"/>
                  <w:sz w:val="19"/>
                  <w:szCs w:val="19"/>
                  <w:u w:val="single"/>
                </w:rPr>
                <w:t xml:space="preserve">40 CFR Part 98, Subpart W — Petroleum and Natural Gas Systems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xg3xstmc0uulpztkb4qe5">
              <w:r>
                <w:rPr>
                  <w:rStyle w:val="Hyperlink"/>
                  <w:rFonts w:ascii="Arial" w:cs="Arial" w:eastAsia="Arial" w:hAnsi="Arial"/>
                  <w:color w:val="1155CC"/>
                  <w:sz w:val="19"/>
                  <w:szCs w:val="19"/>
                  <w:u w:val="single"/>
                </w:rPr>
                <w:t xml:space="preserve">40 CFR Part 98, Subpart A — General Provisions (GHGRP)</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ncq9f1vime5_amwsjgjre">
              <w:r>
                <w:rPr>
                  <w:rStyle w:val="Hyperlink"/>
                  <w:rFonts w:ascii="Arial" w:cs="Arial" w:eastAsia="Arial" w:hAnsi="Arial"/>
                  <w:color w:val="1155CC"/>
                  <w:sz w:val="19"/>
                  <w:szCs w:val="19"/>
                  <w:u w:val="single"/>
                </w:rPr>
                <w:t xml:space="preserve">40 CFR 98.233 — Calculating GHG Emissions (Subpart W)</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kudlg4apyp76w58a8ro8m">
              <w:r>
                <w:rPr>
                  <w:rStyle w:val="Hyperlink"/>
                  <w:rFonts w:ascii="Arial" w:cs="Arial" w:eastAsia="Arial" w:hAnsi="Arial"/>
                  <w:color w:val="1155CC"/>
                  <w:sz w:val="19"/>
                  <w:szCs w:val="19"/>
                  <w:u w:val="single"/>
                </w:rPr>
                <w:t xml:space="preserve">40 CFR 98.236 — Data Reporting Requirements (Subpart W)</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k5nvqxwckmiedtlmh0jeu">
              <w:r>
                <w:rPr>
                  <w:rStyle w:val="Hyperlink"/>
                  <w:rFonts w:ascii="Arial" w:cs="Arial" w:eastAsia="Arial" w:hAnsi="Arial"/>
                  <w:color w:val="1155CC"/>
                  <w:sz w:val="19"/>
                  <w:szCs w:val="19"/>
                  <w:u w:val="single"/>
                </w:rPr>
                <w:t xml:space="preserve">EPA GHGRP Final Rule — Subpart W Revisions (89 FR 42062, May 14, 2024)</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bugixikzzvin53xw71ptq">
              <w:r>
                <w:rPr>
                  <w:rStyle w:val="Hyperlink"/>
                  <w:rFonts w:ascii="Arial" w:cs="Arial" w:eastAsia="Arial" w:hAnsi="Arial"/>
                  <w:color w:val="1155CC"/>
                  <w:sz w:val="19"/>
                  <w:szCs w:val="19"/>
                  <w:u w:val="single"/>
                </w:rPr>
                <w:t xml:space="preserve">EPA e-GGRT — Electronic Greenhouse Gas Reporting Tool</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ek-ksdtguoiywseted9on">
              <w:r>
                <w:rPr>
                  <w:rStyle w:val="Hyperlink"/>
                  <w:rFonts w:ascii="Arial" w:cs="Arial" w:eastAsia="Arial" w:hAnsi="Arial"/>
                  <w:color w:val="1155CC"/>
                  <w:sz w:val="19"/>
                  <w:szCs w:val="19"/>
                  <w:u w:val="single"/>
                </w:rPr>
                <w:t xml:space="preserve">EPA Subpart W Implementation Resources and Webinars</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Applicability and Source Identification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Applicability determination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Facility has determined whether it meets the 25,000 MT CO₂e reporting threshold based on prior year emissions or initial calculations. Determination methodology is documented. Facilities below threshold that previously reported have evaluated whether they qualify for discontinuation of reporting.</w:t>
            </w:r>
          </w:p>
          <w:p>
            <w:pPr>
              <w:spacing w:after="0" w:before="60"/>
            </w:pPr>
            <w:r>
              <w:rPr>
                <w:rFonts w:ascii="Arial" w:cs="Arial" w:eastAsia="Arial" w:hAnsi="Arial"/>
                <w:i/>
                <w:iCs/>
                <w:color w:val="888888"/>
                <w:sz w:val="16"/>
                <w:szCs w:val="16"/>
              </w:rPr>
              <w:t xml:space="preserve">» Ref: </w:t>
            </w:r>
            <w:hyperlink w:history="1" r:id="rIdczavocmbnobrth5lxblqb">
              <w:r>
                <w:rPr>
                  <w:rFonts w:ascii="Arial" w:cs="Arial" w:eastAsia="Arial" w:hAnsi="Arial"/>
                  <w:i/>
                  <w:iCs/>
                  <w:color w:val="1155CC"/>
                  <w:sz w:val="16"/>
                  <w:szCs w:val="16"/>
                  <w:u w:val="single"/>
                </w:rPr>
                <w:t xml:space="preserve">40 CFR 98.2, 98.231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Industry segment classification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Facility is correctly classified within the applicable Subpart W industry segment(s): onshore production, offshore production, processing, transmission compression, underground storage, LNG, distribution, or gathering and boosting. Classification aligns with facility operations and SIC/NAICS codes.</w:t>
            </w:r>
          </w:p>
          <w:p>
            <w:pPr>
              <w:spacing w:after="0" w:before="60"/>
            </w:pPr>
            <w:r>
              <w:rPr>
                <w:rFonts w:ascii="Arial" w:cs="Arial" w:eastAsia="Arial" w:hAnsi="Arial"/>
                <w:i/>
                <w:iCs/>
                <w:color w:val="888888"/>
                <w:sz w:val="16"/>
                <w:szCs w:val="16"/>
              </w:rPr>
              <w:t xml:space="preserve">» Ref: </w:t>
            </w:r>
            <w:hyperlink w:history="1" r:id="rIdqv5co0so2mn-maoujcsss">
              <w:r>
                <w:rPr>
                  <w:rFonts w:ascii="Arial" w:cs="Arial" w:eastAsia="Arial" w:hAnsi="Arial"/>
                  <w:i/>
                  <w:iCs/>
                  <w:color w:val="1155CC"/>
                  <w:sz w:val="16"/>
                  <w:szCs w:val="16"/>
                  <w:u w:val="single"/>
                </w:rPr>
                <w:t xml:space="preserve">40 CFR 98.230</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Emission source inventory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reportable emission sources within the facility boundary are identified and documented. Sources include: pneumatic devices, equipment leaks, storage vessels, compressors, dehydrators, acid gas removal units, flares, combustion equipment, well completions, blowdowns, and other venting sources as applicable to the industry segment.</w:t>
            </w:r>
          </w:p>
          <w:p>
            <w:pPr>
              <w:spacing w:after="0" w:before="60"/>
            </w:pPr>
            <w:r>
              <w:rPr>
                <w:rFonts w:ascii="Arial" w:cs="Arial" w:eastAsia="Arial" w:hAnsi="Arial"/>
                <w:i/>
                <w:iCs/>
                <w:color w:val="888888"/>
                <w:sz w:val="16"/>
                <w:szCs w:val="16"/>
              </w:rPr>
              <w:t xml:space="preserve">» Ref: </w:t>
            </w:r>
            <w:hyperlink w:history="1" r:id="rIddy4wxddic_gch9ufo4md2">
              <w:r>
                <w:rPr>
                  <w:rFonts w:ascii="Arial" w:cs="Arial" w:eastAsia="Arial" w:hAnsi="Arial"/>
                  <w:i/>
                  <w:iCs/>
                  <w:color w:val="1155CC"/>
                  <w:sz w:val="16"/>
                  <w:szCs w:val="16"/>
                  <w:u w:val="single"/>
                </w:rPr>
                <w:t xml:space="preserve">40 CFR 98.232, 98.233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Facility boundary definition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Facility reporting boundary is correctly defined per Subpart W definitions (e.g., well-pad site, gathering and boosting site, processing plant). All equipment within the boundary is included. Boundary definition is consistent year over year or changes are documented.</w:t>
            </w:r>
          </w:p>
          <w:p>
            <w:pPr>
              <w:spacing w:after="0" w:before="60"/>
            </w:pPr>
            <w:r>
              <w:rPr>
                <w:rFonts w:ascii="Arial" w:cs="Arial" w:eastAsia="Arial" w:hAnsi="Arial"/>
                <w:i/>
                <w:iCs/>
                <w:color w:val="888888"/>
                <w:sz w:val="16"/>
                <w:szCs w:val="16"/>
              </w:rPr>
              <w:t xml:space="preserve">» Ref: </w:t>
            </w:r>
            <w:hyperlink w:history="1" r:id="rIdmqlwop8-yvxi4az2h9pxg">
              <w:r>
                <w:rPr>
                  <w:rFonts w:ascii="Arial" w:cs="Arial" w:eastAsia="Arial" w:hAnsi="Arial"/>
                  <w:i/>
                  <w:iCs/>
                  <w:color w:val="1155CC"/>
                  <w:sz w:val="16"/>
                  <w:szCs w:val="16"/>
                  <w:u w:val="single"/>
                </w:rPr>
                <w:t xml:space="preserve">40 CFR 98.238 (definitions)</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Calculation Methodologies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Method selection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Correct calculation methodology is selected for each emission source type per 40 CFR 98.233. Methodology selection considers available data, monitoring equipment, and regulatory requirements. Any use of optional new methodologies (effective RY 2025) is documented.</w:t>
            </w:r>
          </w:p>
          <w:p>
            <w:pPr>
              <w:spacing w:after="0" w:before="60"/>
            </w:pPr>
            <w:r>
              <w:rPr>
                <w:rFonts w:ascii="Arial" w:cs="Arial" w:eastAsia="Arial" w:hAnsi="Arial"/>
                <w:i/>
                <w:iCs/>
                <w:color w:val="888888"/>
                <w:sz w:val="16"/>
                <w:szCs w:val="16"/>
              </w:rPr>
              <w:t xml:space="preserve">» Ref: </w:t>
            </w:r>
            <w:hyperlink w:history="1" r:id="rIdts7t-loyzqggepwzxyomj">
              <w:r>
                <w:rPr>
                  <w:rFonts w:ascii="Arial" w:cs="Arial" w:eastAsia="Arial" w:hAnsi="Arial"/>
                  <w:i/>
                  <w:iCs/>
                  <w:color w:val="1155CC"/>
                  <w:sz w:val="16"/>
                  <w:szCs w:val="16"/>
                  <w:u w:val="single"/>
                </w:rPr>
                <w:t xml:space="preserve">40 CFR 98.233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Pneumatic device calculations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Emissions from pneumatic controllers and pumps are calculated using the applicable method: population count with emission factors (Method 1), direct measurement (Method 2), or engineering estimation. Device inventories are current and categorized correctly (continuous bleed high/low, intermittent, zero-emission).</w:t>
            </w:r>
          </w:p>
          <w:p>
            <w:pPr>
              <w:spacing w:after="0" w:before="60"/>
            </w:pPr>
            <w:r>
              <w:rPr>
                <w:rFonts w:ascii="Arial" w:cs="Arial" w:eastAsia="Arial" w:hAnsi="Arial"/>
                <w:i/>
                <w:iCs/>
                <w:color w:val="888888"/>
                <w:sz w:val="16"/>
                <w:szCs w:val="16"/>
              </w:rPr>
              <w:t xml:space="preserve">» Ref: </w:t>
            </w:r>
            <w:hyperlink w:history="1" r:id="rIdynbfj5h0dy4mbni43vt3k">
              <w:r>
                <w:rPr>
                  <w:rFonts w:ascii="Arial" w:cs="Arial" w:eastAsia="Arial" w:hAnsi="Arial"/>
                  <w:i/>
                  <w:iCs/>
                  <w:color w:val="1155CC"/>
                  <w:sz w:val="16"/>
                  <w:szCs w:val="16"/>
                  <w:u w:val="single"/>
                </w:rPr>
                <w:t xml:space="preserve">40 CFR 98.233(a)</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Equipment leak calculations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Fugitive emissions from equipment leaks are quantified using the applicable methodology: component counts with emission factors, OGI-based survey data, or direct measurement. Leak survey data from NSPS compliance can be used where methods align.</w:t>
            </w:r>
          </w:p>
          <w:p>
            <w:pPr>
              <w:spacing w:after="0" w:before="60"/>
            </w:pPr>
            <w:r>
              <w:rPr>
                <w:rFonts w:ascii="Arial" w:cs="Arial" w:eastAsia="Arial" w:hAnsi="Arial"/>
                <w:i/>
                <w:iCs/>
                <w:color w:val="888888"/>
                <w:sz w:val="16"/>
                <w:szCs w:val="16"/>
              </w:rPr>
              <w:t xml:space="preserve">» Ref: </w:t>
            </w:r>
            <w:hyperlink w:history="1" r:id="rIdxvcghhhv4xxq965iqxvig">
              <w:r>
                <w:rPr>
                  <w:rFonts w:ascii="Arial" w:cs="Arial" w:eastAsia="Arial" w:hAnsi="Arial"/>
                  <w:i/>
                  <w:iCs/>
                  <w:color w:val="1155CC"/>
                  <w:sz w:val="16"/>
                  <w:szCs w:val="16"/>
                  <w:u w:val="single"/>
                </w:rPr>
                <w:t xml:space="preserve">40 CFR 98.233(q)-(r)</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Combustion and flare calculations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Emissions from stationary combustion sources, flares, and engines are calculated per Subpart C and/or Subpart W methods as applicable. Gas composition data, fuel usage volumes, and operating hours are documented. RICE and gas turbine emissions use updated methane emission factors where required.</w:t>
            </w:r>
          </w:p>
          <w:p>
            <w:pPr>
              <w:spacing w:after="0" w:before="60"/>
            </w:pPr>
            <w:r>
              <w:rPr>
                <w:rFonts w:ascii="Arial" w:cs="Arial" w:eastAsia="Arial" w:hAnsi="Arial"/>
                <w:i/>
                <w:iCs/>
                <w:color w:val="888888"/>
                <w:sz w:val="16"/>
                <w:szCs w:val="16"/>
              </w:rPr>
              <w:t xml:space="preserve">» Ref: </w:t>
            </w:r>
            <w:hyperlink w:history="1" r:id="rIdtjm1i79nh-0bspzmmqset">
              <w:r>
                <w:rPr>
                  <w:rFonts w:ascii="Arial" w:cs="Arial" w:eastAsia="Arial" w:hAnsi="Arial"/>
                  <w:i/>
                  <w:iCs/>
                  <w:color w:val="1155CC"/>
                  <w:sz w:val="16"/>
                  <w:szCs w:val="16"/>
                  <w:u w:val="single"/>
                </w:rPr>
                <w:t xml:space="preserve">40 CFR 98.233(n), (z); Subpart C</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Storage vessel and dehydrator calculations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Emissions from storage tanks are calculated using simulation software or engineering methodology with throughput data, API gravity, Reid vapor pressure, and ambient conditions. Dehydrator emissions use appropriate method based on throughput and whether software modeling (GRI-GLYCalc or equivalent) is required.</w:t>
            </w:r>
          </w:p>
          <w:p>
            <w:pPr>
              <w:spacing w:after="0" w:before="60"/>
            </w:pPr>
            <w:r>
              <w:rPr>
                <w:rFonts w:ascii="Arial" w:cs="Arial" w:eastAsia="Arial" w:hAnsi="Arial"/>
                <w:i/>
                <w:iCs/>
                <w:color w:val="888888"/>
                <w:sz w:val="16"/>
                <w:szCs w:val="16"/>
              </w:rPr>
              <w:t xml:space="preserve">» Ref: </w:t>
            </w:r>
            <w:hyperlink w:history="1" r:id="rIdfezn8znpz-ivx0drnfy4s">
              <w:r>
                <w:rPr>
                  <w:rFonts w:ascii="Arial" w:cs="Arial" w:eastAsia="Arial" w:hAnsi="Arial"/>
                  <w:i/>
                  <w:iCs/>
                  <w:color w:val="1155CC"/>
                  <w:sz w:val="16"/>
                  <w:szCs w:val="16"/>
                  <w:u w:val="single"/>
                </w:rPr>
                <w:t xml:space="preserve">40 CFR 98.233(j), (e)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Monitoring and Data Collection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Gas composition analysis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Natural gas composition is analyzed at required frequency using appropriate analytical methods. Results include CH₄, CO₂, N₂, and C₂+ components. Sampling locations represent gas at the point of emission. Annual or more frequent analysis is conducted as required.</w:t>
            </w:r>
          </w:p>
          <w:p>
            <w:pPr>
              <w:spacing w:after="0" w:before="60"/>
            </w:pPr>
            <w:r>
              <w:rPr>
                <w:rFonts w:ascii="Arial" w:cs="Arial" w:eastAsia="Arial" w:hAnsi="Arial"/>
                <w:i/>
                <w:iCs/>
                <w:color w:val="888888"/>
                <w:sz w:val="16"/>
                <w:szCs w:val="16"/>
              </w:rPr>
              <w:t xml:space="preserve">» Ref: </w:t>
            </w:r>
            <w:hyperlink w:history="1" r:id="rIdlfccmtqjducqba5ahgoxy">
              <w:r>
                <w:rPr>
                  <w:rFonts w:ascii="Arial" w:cs="Arial" w:eastAsia="Arial" w:hAnsi="Arial"/>
                  <w:i/>
                  <w:iCs/>
                  <w:color w:val="1155CC"/>
                  <w:sz w:val="16"/>
                  <w:szCs w:val="16"/>
                  <w:u w:val="single"/>
                </w:rPr>
                <w:t xml:space="preserve">40 CFR 98.233(u)</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Activity data collection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Activity data (fuel consumption, throughput, operating hours, vent volumes, component counts) is collected systematically throughout the reporting year. Data sources are identified and consistent. Meters and measurement devices are calibrated per applicable standards.</w:t>
            </w:r>
          </w:p>
          <w:p>
            <w:pPr>
              <w:spacing w:after="0" w:before="60"/>
            </w:pPr>
            <w:r>
              <w:rPr>
                <w:rFonts w:ascii="Arial" w:cs="Arial" w:eastAsia="Arial" w:hAnsi="Arial"/>
                <w:i/>
                <w:iCs/>
                <w:color w:val="888888"/>
                <w:sz w:val="16"/>
                <w:szCs w:val="16"/>
              </w:rPr>
              <w:t xml:space="preserve">» Ref: </w:t>
            </w:r>
            <w:hyperlink w:history="1" r:id="rIdt4edpn7jkaioqllvenbne">
              <w:r>
                <w:rPr>
                  <w:rFonts w:ascii="Arial" w:cs="Arial" w:eastAsia="Arial" w:hAnsi="Arial"/>
                  <w:i/>
                  <w:iCs/>
                  <w:color w:val="1155CC"/>
                  <w:sz w:val="16"/>
                  <w:szCs w:val="16"/>
                  <w:u w:val="single"/>
                </w:rPr>
                <w:t xml:space="preserve">40 CFR 98.234</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Emission factor documentation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Emission factors used in calculations are documented with sources. Default EPA emission factors, manufacturer data, or site-specific measured factors are applied correctly. Any updates to emission factors from 2024 amendments are incorporated.</w:t>
            </w:r>
          </w:p>
          <w:p>
            <w:pPr>
              <w:spacing w:after="0" w:before="60"/>
            </w:pPr>
            <w:r>
              <w:rPr>
                <w:rFonts w:ascii="Arial" w:cs="Arial" w:eastAsia="Arial" w:hAnsi="Arial"/>
                <w:i/>
                <w:iCs/>
                <w:color w:val="888888"/>
                <w:sz w:val="16"/>
                <w:szCs w:val="16"/>
              </w:rPr>
              <w:t xml:space="preserve">» Ref: </w:t>
            </w:r>
            <w:hyperlink w:history="1" r:id="rId62kqxk2ulwr9qnvco_fyd">
              <w:r>
                <w:rPr>
                  <w:rFonts w:ascii="Arial" w:cs="Arial" w:eastAsia="Arial" w:hAnsi="Arial"/>
                  <w:i/>
                  <w:iCs/>
                  <w:color w:val="1155CC"/>
                  <w:sz w:val="16"/>
                  <w:szCs w:val="16"/>
                  <w:u w:val="single"/>
                </w:rPr>
                <w:t xml:space="preserve">40 CFR 98.233 (Tables W-1 through W-7)</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Missing data procedures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Procedures for handling missing data are documented and follow Subpart W requirements (40 CFR 98.235). Substitute data methods are applied consistently. Duration and reason for missing data periods are documented. Missing data is minimized and reported in the annual report.</w:t>
            </w:r>
          </w:p>
          <w:p>
            <w:pPr>
              <w:spacing w:after="0" w:before="60"/>
            </w:pPr>
            <w:r>
              <w:rPr>
                <w:rFonts w:ascii="Arial" w:cs="Arial" w:eastAsia="Arial" w:hAnsi="Arial"/>
                <w:i/>
                <w:iCs/>
                <w:color w:val="888888"/>
                <w:sz w:val="16"/>
                <w:szCs w:val="16"/>
              </w:rPr>
              <w:t xml:space="preserve">» Ref: </w:t>
            </w:r>
            <w:hyperlink w:history="1" r:id="rId435tzh_najnmmpsjrjeny">
              <w:r>
                <w:rPr>
                  <w:rFonts w:ascii="Arial" w:cs="Arial" w:eastAsia="Arial" w:hAnsi="Arial"/>
                  <w:i/>
                  <w:iCs/>
                  <w:color w:val="1155CC"/>
                  <w:sz w:val="16"/>
                  <w:szCs w:val="16"/>
                  <w:u w:val="single"/>
                </w:rPr>
                <w:t xml:space="preserve">40 CFR 98.235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Reporting and Recordkeeping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Annual report completeness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Annual GHG report submitted through e-GGRT includes all required data elements for each emission source. Report covers the full calendar year (January 1 – December 31). All applicable sections of the reporting form are completed including source-level detail.</w:t>
            </w:r>
          </w:p>
          <w:p>
            <w:pPr>
              <w:spacing w:after="0" w:before="60"/>
            </w:pPr>
            <w:r>
              <w:rPr>
                <w:rFonts w:ascii="Arial" w:cs="Arial" w:eastAsia="Arial" w:hAnsi="Arial"/>
                <w:i/>
                <w:iCs/>
                <w:color w:val="888888"/>
                <w:sz w:val="16"/>
                <w:szCs w:val="16"/>
              </w:rPr>
              <w:t xml:space="preserve">» Ref: </w:t>
            </w:r>
            <w:hyperlink w:history="1" r:id="rIdl3uo8oe8kwrgzbjkuptlh">
              <w:r>
                <w:rPr>
                  <w:rFonts w:ascii="Arial" w:cs="Arial" w:eastAsia="Arial" w:hAnsi="Arial"/>
                  <w:i/>
                  <w:iCs/>
                  <w:color w:val="1155CC"/>
                  <w:sz w:val="16"/>
                  <w:szCs w:val="16"/>
                  <w:u w:val="single"/>
                </w:rPr>
                <w:t xml:space="preserve">40 CFR 98.236</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Report submission timeliness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Annual report is submitted by the March 31 deadline (or extended deadline if applicable). Verification status is checked and any resubmission requests from EPA are addressed within the required timeframe.</w:t>
            </w:r>
          </w:p>
          <w:p>
            <w:pPr>
              <w:spacing w:after="0" w:before="60"/>
            </w:pPr>
            <w:r>
              <w:rPr>
                <w:rFonts w:ascii="Arial" w:cs="Arial" w:eastAsia="Arial" w:hAnsi="Arial"/>
                <w:i/>
                <w:iCs/>
                <w:color w:val="888888"/>
                <w:sz w:val="16"/>
                <w:szCs w:val="16"/>
              </w:rPr>
              <w:t xml:space="preserve">» Ref: </w:t>
            </w:r>
            <w:hyperlink w:history="1" r:id="rIdjqbivavkr0j3_bdrtkhxc">
              <w:r>
                <w:rPr>
                  <w:rFonts w:ascii="Arial" w:cs="Arial" w:eastAsia="Arial" w:hAnsi="Arial"/>
                  <w:i/>
                  <w:iCs/>
                  <w:color w:val="1155CC"/>
                  <w:sz w:val="16"/>
                  <w:szCs w:val="16"/>
                  <w:u w:val="single"/>
                </w:rPr>
                <w:t xml:space="preserve">40 CFR 98.3(b)</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Record retention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records supporting the annual report are retained for a minimum of three years including: gas composition analyses, activity data, calculation worksheets, monitoring records, calibration records, and missing data documentation. Records are organized and readily retrievable for EPA verification.</w:t>
            </w:r>
          </w:p>
          <w:p>
            <w:pPr>
              <w:spacing w:after="0" w:before="60"/>
            </w:pPr>
            <w:r>
              <w:rPr>
                <w:rFonts w:ascii="Arial" w:cs="Arial" w:eastAsia="Arial" w:hAnsi="Arial"/>
                <w:i/>
                <w:iCs/>
                <w:color w:val="888888"/>
                <w:sz w:val="16"/>
                <w:szCs w:val="16"/>
              </w:rPr>
              <w:t xml:space="preserve">» Ref: </w:t>
            </w:r>
            <w:hyperlink w:history="1" r:id="rId_2ibrees9xhco2x6dveo_">
              <w:r>
                <w:rPr>
                  <w:rFonts w:ascii="Arial" w:cs="Arial" w:eastAsia="Arial" w:hAnsi="Arial"/>
                  <w:i/>
                  <w:iCs/>
                  <w:color w:val="1155CC"/>
                  <w:sz w:val="16"/>
                  <w:szCs w:val="16"/>
                  <w:u w:val="single"/>
                </w:rPr>
                <w:t xml:space="preserve">40 CFR 98.3(g)</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Data verification and QA/QC</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Internal quality assurance and quality control procedures are implemented for emission calculations. Calculations are reviewed for accuracy before report submission. Year-over-year comparisons are performed to identify anomalies. Any EPA verification inquiries from prior years have been addressed.</w:t>
            </w:r>
          </w:p>
          <w:p>
            <w:pPr>
              <w:spacing w:after="0" w:before="60"/>
            </w:pPr>
            <w:r>
              <w:rPr>
                <w:rFonts w:ascii="Arial" w:cs="Arial" w:eastAsia="Arial" w:hAnsi="Arial"/>
                <w:i/>
                <w:iCs/>
                <w:color w:val="888888"/>
                <w:sz w:val="16"/>
                <w:szCs w:val="16"/>
              </w:rPr>
              <w:t xml:space="preserve">» Ref: </w:t>
            </w:r>
            <w:hyperlink w:history="1" r:id="rIdervdeca_xesqqei8mnksh">
              <w:r>
                <w:rPr>
                  <w:rFonts w:ascii="Arial" w:cs="Arial" w:eastAsia="Arial" w:hAnsi="Arial"/>
                  <w:i/>
                  <w:iCs/>
                  <w:color w:val="1155CC"/>
                  <w:sz w:val="16"/>
                  <w:szCs w:val="16"/>
                  <w:u w:val="single"/>
                </w:rPr>
                <w:t xml:space="preserve">40 CFR 98.3(h)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Confidentiality claims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Any claims for confidential business information (CBI) are properly filed and documented. CBI claims align with EPA’s confidentiality determinations for Subpart W data elements. Public reporting of non-CBI data is understood.</w:t>
            </w:r>
          </w:p>
          <w:p>
            <w:pPr>
              <w:spacing w:after="0" w:before="60"/>
            </w:pPr>
            <w:r>
              <w:rPr>
                <w:rFonts w:ascii="Arial" w:cs="Arial" w:eastAsia="Arial" w:hAnsi="Arial"/>
                <w:i/>
                <w:iCs/>
                <w:color w:val="888888"/>
                <w:sz w:val="16"/>
                <w:szCs w:val="16"/>
              </w:rPr>
              <w:t xml:space="preserve">» Ref: </w:t>
            </w:r>
            <w:hyperlink w:history="1" r:id="rId0yp3mppn6o-xwlt-xmely">
              <w:r>
                <w:rPr>
                  <w:rFonts w:ascii="Arial" w:cs="Arial" w:eastAsia="Arial" w:hAnsi="Arial"/>
                  <w:i/>
                  <w:iCs/>
                  <w:color w:val="1155CC"/>
                  <w:sz w:val="16"/>
                  <w:szCs w:val="16"/>
                  <w:u w:val="single"/>
                </w:rPr>
                <w:t xml:space="preserve">40 CFR 98.3(d), 40 CFR 2 Subpart B</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Subpart W GHG Reporting Program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8gdsv3mohdb37tyeohul-" Type="http://schemas.openxmlformats.org/officeDocument/2006/relationships/hyperlink" Target="https://www.ecfr.gov/current/title-40/chapter-I/subchapter-C/part-98/subpart-W" TargetMode="External"/><Relationship Id="rIdxg3xstmc0uulpztkb4qe5" Type="http://schemas.openxmlformats.org/officeDocument/2006/relationships/hyperlink" Target="https://www.ecfr.gov/current/title-40/chapter-I/subchapter-C/part-98/subpart-A" TargetMode="External"/><Relationship Id="rIdncq9f1vime5_amwsjgjre" Type="http://schemas.openxmlformats.org/officeDocument/2006/relationships/hyperlink" Target="https://www.ecfr.gov/current/title-40/chapter-I/subchapter-C/part-98/subpart-W/section-98.233" TargetMode="External"/><Relationship Id="rIdkudlg4apyp76w58a8ro8m" Type="http://schemas.openxmlformats.org/officeDocument/2006/relationships/hyperlink" Target="https://www.ecfr.gov/current/title-40/chapter-I/subchapter-C/part-98/subpart-W/section-98.236" TargetMode="External"/><Relationship Id="rIdk5nvqxwckmiedtlmh0jeu" Type="http://schemas.openxmlformats.org/officeDocument/2006/relationships/hyperlink" Target="https://www.federalregister.gov/documents/2024/05/14/2024-08988/greenhouse-gas-reporting-rule-revisions-and-confidentiality-determinations-for-petroleum-and-natural" TargetMode="External"/><Relationship Id="rIdbugixikzzvin53xw71ptq" Type="http://schemas.openxmlformats.org/officeDocument/2006/relationships/hyperlink" Target="https://ghgreporting.epa.gov/" TargetMode="External"/><Relationship Id="rIdek-ksdtguoiywseted9on" Type="http://schemas.openxmlformats.org/officeDocument/2006/relationships/hyperlink" Target="https://www.epa.gov/ghgreporting/subpart-w-petroleum-and-natural-gas-systems" TargetMode="External"/><Relationship Id="rIdczavocmbnobrth5lxblqb" Type="http://schemas.openxmlformats.org/officeDocument/2006/relationships/hyperlink" Target="https://www.ecfr.gov/current/title-40/chapter-I/subchapter-C/part-98/subpart-W/section-98.231" TargetMode="External"/><Relationship Id="rIdqv5co0so2mn-maoujcsss" Type="http://schemas.openxmlformats.org/officeDocument/2006/relationships/hyperlink" Target="https://www.ecfr.gov/current/title-40/chapter-I/subchapter-C/part-98/subpart-W/section-98.230" TargetMode="External"/><Relationship Id="rIddy4wxddic_gch9ufo4md2" Type="http://schemas.openxmlformats.org/officeDocument/2006/relationships/hyperlink" Target="https://www.ecfr.gov/current/title-40/chapter-I/subchapter-C/part-98/subpart-W/section-98.232" TargetMode="External"/><Relationship Id="rIdmqlwop8-yvxi4az2h9pxg" Type="http://schemas.openxmlformats.org/officeDocument/2006/relationships/hyperlink" Target="https://www.ecfr.gov/current/title-40/chapter-I/subchapter-C/part-98/subpart-W/section-98.238" TargetMode="External"/><Relationship Id="rIdts7t-loyzqggepwzxyomj" Type="http://schemas.openxmlformats.org/officeDocument/2006/relationships/hyperlink" Target="https://www.ecfr.gov/current/title-40/chapter-I/subchapter-C/part-98/subpart-W/section-98.233" TargetMode="External"/><Relationship Id="rIdynbfj5h0dy4mbni43vt3k" Type="http://schemas.openxmlformats.org/officeDocument/2006/relationships/hyperlink" Target="https://www.ecfr.gov/current/title-40/chapter-I/subchapter-C/part-98/subpart-W/section-98.233" TargetMode="External"/><Relationship Id="rIdxvcghhhv4xxq965iqxvig" Type="http://schemas.openxmlformats.org/officeDocument/2006/relationships/hyperlink" Target="https://www.ecfr.gov/current/title-40/chapter-I/subchapter-C/part-98/subpart-W/section-98.233" TargetMode="External"/><Relationship Id="rIdtjm1i79nh-0bspzmmqset" Type="http://schemas.openxmlformats.org/officeDocument/2006/relationships/hyperlink" Target="https://www.ecfr.gov/current/title-40/chapter-I/subchapter-C/part-98/subpart-W/section-98.233" TargetMode="External"/><Relationship Id="rIdfezn8znpz-ivx0drnfy4s" Type="http://schemas.openxmlformats.org/officeDocument/2006/relationships/hyperlink" Target="https://www.ecfr.gov/current/title-40/chapter-I/subchapter-C/part-98/subpart-W/section-98.233" TargetMode="External"/><Relationship Id="rIdlfccmtqjducqba5ahgoxy" Type="http://schemas.openxmlformats.org/officeDocument/2006/relationships/hyperlink" Target="https://www.ecfr.gov/current/title-40/chapter-I/subchapter-C/part-98/subpart-W/section-98.233" TargetMode="External"/><Relationship Id="rIdt4edpn7jkaioqllvenbne" Type="http://schemas.openxmlformats.org/officeDocument/2006/relationships/hyperlink" Target="https://www.ecfr.gov/current/title-40/chapter-I/subchapter-C/part-98/subpart-W/section-98.234" TargetMode="External"/><Relationship Id="rId62kqxk2ulwr9qnvco_fyd" Type="http://schemas.openxmlformats.org/officeDocument/2006/relationships/hyperlink" Target="https://www.ecfr.gov/current/title-40/chapter-I/subchapter-C/part-98/subpart-W/section-98.233" TargetMode="External"/><Relationship Id="rId435tzh_najnmmpsjrjeny" Type="http://schemas.openxmlformats.org/officeDocument/2006/relationships/hyperlink" Target="https://www.ecfr.gov/current/title-40/chapter-I/subchapter-C/part-98/subpart-W/section-98.235" TargetMode="External"/><Relationship Id="rIdl3uo8oe8kwrgzbjkuptlh" Type="http://schemas.openxmlformats.org/officeDocument/2006/relationships/hyperlink" Target="https://www.ecfr.gov/current/title-40/chapter-I/subchapter-C/part-98/subpart-W/section-98.236" TargetMode="External"/><Relationship Id="rIdjqbivavkr0j3_bdrtkhxc" Type="http://schemas.openxmlformats.org/officeDocument/2006/relationships/hyperlink" Target="https://www.ecfr.gov/current/title-40/chapter-I/subchapter-C/part-98/subpart-A/section-98.3" TargetMode="External"/><Relationship Id="rId_2ibrees9xhco2x6dveo_" Type="http://schemas.openxmlformats.org/officeDocument/2006/relationships/hyperlink" Target="https://www.ecfr.gov/current/title-40/chapter-I/subchapter-C/part-98/subpart-A/section-98.3" TargetMode="External"/><Relationship Id="rIdervdeca_xesqqei8mnksh" Type="http://schemas.openxmlformats.org/officeDocument/2006/relationships/hyperlink" Target="https://www.ecfr.gov/current/title-40/chapter-I/subchapter-C/part-98/subpart-A/section-98.3" TargetMode="External"/><Relationship Id="rId0yp3mppn6o-xwlt-xmely" Type="http://schemas.openxmlformats.org/officeDocument/2006/relationships/hyperlink" Target="https://www.ecfr.gov/current/title-40/chapter-I/subchapter-C/part-98/subpart-A/section-98.3" TargetMode="External"/><Relationship Id="rId3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2026-03-01T16:57:18.998Z</dcterms:created>
  <dcterms:modified xsi:type="dcterms:W3CDTF">2026-03-01T16:57:18.998Z</dcterms:modified>
</cp:coreProperties>
</file>

<file path=docProps/custom.xml><?xml version="1.0" encoding="utf-8"?>
<Properties xmlns="http://schemas.openxmlformats.org/officeDocument/2006/custom-properties" xmlns:vt="http://schemas.openxmlformats.org/officeDocument/2006/docPropsVTypes"/>
</file>